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BCC3" w14:textId="022FC57B" w:rsidR="00E2071D" w:rsidRDefault="002F744F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674D15B7">
                <wp:simplePos x="0" y="0"/>
                <wp:positionH relativeFrom="column">
                  <wp:posOffset>4013835</wp:posOffset>
                </wp:positionH>
                <wp:positionV relativeFrom="paragraph">
                  <wp:posOffset>-224790</wp:posOffset>
                </wp:positionV>
                <wp:extent cx="1419225" cy="990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77777777" w:rsidR="001E6E8D" w:rsidRDefault="001E6E8D">
                            <w:r w:rsidRPr="003E05C9">
                              <w:rPr>
                                <w:rFonts w:ascii="Trebuchet MS" w:hAnsi="Trebuchet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AED389" wp14:editId="75F60FF3">
                                  <wp:extent cx="1066800" cy="952500"/>
                                  <wp:effectExtent l="0" t="0" r="0" b="0"/>
                                  <wp:docPr id="1" name="Image 15" descr="C:\Users\HP\Documents\Dsee\Insae\Logo-INSAE[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 descr="C:\Users\HP\Documents\Dsee\Insae\Logo-INSAE[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65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6.05pt;margin-top:-17.7pt;width:111.75pt;height:7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" filled="f" stroked="f" strokeweight="0">
                <v:textbox>
                  <w:txbxContent>
                    <w:p w14:paraId="6EA77262" w14:textId="77777777" w:rsidR="001E6E8D" w:rsidRDefault="001E6E8D">
                      <w:r w:rsidRPr="003E05C9">
                        <w:rPr>
                          <w:rFonts w:ascii="Trebuchet MS" w:hAnsi="Trebuchet MS"/>
                          <w:noProof/>
                          <w:lang w:val="en-US"/>
                        </w:rPr>
                        <w:drawing>
                          <wp:inline distT="0" distB="0" distL="0" distR="0" wp14:anchorId="48AED389" wp14:editId="75F60FF3">
                            <wp:extent cx="1066800" cy="952500"/>
                            <wp:effectExtent l="0" t="0" r="0" b="0"/>
                            <wp:docPr id="1" name="Image 15" descr="C:\Users\HP\Documents\Dsee\Insae\Logo-INSAE[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 descr="C:\Users\HP\Documents\Dsee\Insae\Logo-INSAE[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08E300B3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0F5" w:rsidRPr="002E2563" w14:paraId="1849EF40" w14:textId="77777777" w:rsidTr="003D284F">
        <w:trPr>
          <w:trHeight w:val="1560"/>
        </w:trPr>
        <w:tc>
          <w:tcPr>
            <w:tcW w:w="4927" w:type="dxa"/>
          </w:tcPr>
          <w:p w14:paraId="1AD97622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2395C268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434FD145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92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676C31CE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3CBF9795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77777777" w:rsidR="003D76D3" w:rsidRDefault="00DB44C2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MISSION</w:t>
      </w:r>
      <w:r w:rsidR="003D76D3" w:rsidRPr="003D76D3">
        <w:rPr>
          <w:rFonts w:ascii="Arial Black" w:hAnsi="Arial Black" w:cs="Arial"/>
          <w:sz w:val="24"/>
          <w:szCs w:val="24"/>
        </w:rPr>
        <w:t xml:space="preserve">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="003D76D3" w:rsidRPr="003D76D3">
        <w:rPr>
          <w:rFonts w:ascii="Arial Black" w:hAnsi="Arial Black" w:cs="Arial"/>
          <w:sz w:val="24"/>
          <w:szCs w:val="24"/>
        </w:rPr>
        <w:t>AU BENIN</w:t>
      </w: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3F00362B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086379">
        <w:rPr>
          <w:rFonts w:ascii="Arial Black" w:hAnsi="Arial Black" w:cs="Arial"/>
          <w:color w:val="0000CC"/>
          <w:sz w:val="24"/>
          <w:szCs w:val="24"/>
        </w:rPr>
        <w:t>QUATR</w:t>
      </w:r>
      <w:r w:rsidR="00081C84">
        <w:rPr>
          <w:rFonts w:ascii="Arial Black" w:hAnsi="Arial Black" w:cs="Arial"/>
          <w:color w:val="0000CC"/>
          <w:sz w:val="24"/>
          <w:szCs w:val="24"/>
        </w:rPr>
        <w:t xml:space="preserve">IEME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2020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11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56CA7AAD" w14:textId="77777777" w:rsidR="00084F1A" w:rsidRDefault="00084F1A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à la disposition de ses Etats membres,</w:t>
      </w:r>
      <w:r w:rsidR="00EF723B">
        <w:rPr>
          <w:rFonts w:ascii="Arial" w:hAnsi="Arial" w:cs="Arial"/>
        </w:rPr>
        <w:t xml:space="preserve"> des statistiques harmonisées, fiables, conformes aux normes internationales et à jour,</w:t>
      </w:r>
      <w:r>
        <w:rPr>
          <w:rFonts w:ascii="Arial" w:hAnsi="Arial" w:cs="Arial"/>
        </w:rPr>
        <w:t xml:space="preserve"> </w:t>
      </w:r>
      <w:r w:rsidR="00DB44C2">
        <w:rPr>
          <w:rFonts w:ascii="Arial" w:hAnsi="Arial" w:cs="Arial"/>
        </w:rPr>
        <w:t xml:space="preserve">la Commission de </w:t>
      </w:r>
      <w:r>
        <w:rPr>
          <w:rFonts w:ascii="Arial" w:hAnsi="Arial" w:cs="Arial"/>
        </w:rPr>
        <w:t xml:space="preserve">l’Union Economique et Monétaire Ouest Africain (UEMOA) a initié un Programme Statistique Régional (PSR) dont </w:t>
      </w:r>
      <w:r w:rsidR="00EF723B">
        <w:rPr>
          <w:rFonts w:ascii="Arial" w:hAnsi="Arial" w:cs="Arial"/>
        </w:rPr>
        <w:t xml:space="preserve">les statistiques d’entreprises constituent l’un des domaines d’intervention. </w:t>
      </w:r>
      <w:r w:rsidR="00DC047E">
        <w:rPr>
          <w:rFonts w:ascii="Arial" w:hAnsi="Arial" w:cs="Arial"/>
        </w:rPr>
        <w:t xml:space="preserve">La mise en œuvre du PSR est assurée par l’Observatoire </w:t>
      </w:r>
      <w:r w:rsidR="00DC047E" w:rsidRPr="00DC047E">
        <w:rPr>
          <w:rFonts w:ascii="Arial" w:hAnsi="Arial" w:cs="Arial"/>
        </w:rPr>
        <w:t>Economique et Statistique d’Afrique Subsaharienne (AFRISTAT)</w:t>
      </w:r>
      <w:r w:rsidR="00DB44C2">
        <w:rPr>
          <w:rFonts w:ascii="Arial" w:hAnsi="Arial" w:cs="Arial"/>
        </w:rPr>
        <w:t>,</w:t>
      </w:r>
      <w:r w:rsidR="00DC047E">
        <w:rPr>
          <w:rFonts w:ascii="Arial" w:hAnsi="Arial" w:cs="Arial"/>
        </w:rPr>
        <w:t xml:space="preserve"> à travers son assistance technique aux Etats. </w:t>
      </w:r>
    </w:p>
    <w:p w14:paraId="30D12E91" w14:textId="2C7934F3" w:rsidR="00040F08" w:rsidRPr="00084F1A" w:rsidRDefault="00DC047E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63CED1A3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201</w:t>
      </w:r>
      <w:r w:rsidR="003E393E">
        <w:rPr>
          <w:rFonts w:ascii="Arial" w:hAnsi="Arial" w:cs="Arial"/>
        </w:rPr>
        <w:t>9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premier trimestre 2015 au </w:t>
      </w:r>
      <w:r w:rsidR="00022F5A" w:rsidRPr="00FA71FF">
        <w:rPr>
          <w:rFonts w:ascii="Arial" w:hAnsi="Arial" w:cs="Arial"/>
        </w:rPr>
        <w:t xml:space="preserve">quatrième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20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p w14:paraId="2CDBA723" w14:textId="59B94088" w:rsidR="00D2530C" w:rsidRDefault="00583049" w:rsidP="00D2530C">
      <w:pPr>
        <w:jc w:val="both"/>
        <w:rPr>
          <w:rFonts w:ascii="Arial" w:hAnsi="Arial" w:cs="Arial"/>
        </w:rPr>
      </w:pPr>
      <w:r w:rsidRPr="00583049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programme. Les résultats obtenus à l’issue du processus de calcul de l’I</w:t>
      </w:r>
      <w:r>
        <w:rPr>
          <w:rFonts w:ascii="Arial" w:hAnsi="Arial" w:cs="Arial"/>
        </w:rPr>
        <w:t>P</w:t>
      </w:r>
      <w:r w:rsidRPr="00583049">
        <w:rPr>
          <w:rFonts w:ascii="Arial" w:hAnsi="Arial" w:cs="Arial"/>
        </w:rPr>
        <w:t xml:space="preserve">PI sont présentés dans les tableaux qui suivent. </w:t>
      </w:r>
      <w:r w:rsidR="00D2530C">
        <w:rPr>
          <w:rFonts w:ascii="Arial" w:hAnsi="Arial" w:cs="Arial"/>
        </w:rPr>
        <w:t xml:space="preserve"> </w:t>
      </w:r>
      <w:bookmarkEnd w:id="0"/>
    </w:p>
    <w:p w14:paraId="016BE86F" w14:textId="4C4697D3" w:rsidR="00C0137F" w:rsidRPr="00084F1A" w:rsidRDefault="0007006B" w:rsidP="00D2530C">
      <w:pPr>
        <w:jc w:val="both"/>
        <w:rPr>
          <w:rFonts w:ascii="Arial" w:hAnsi="Arial" w:cs="Arial"/>
        </w:rPr>
      </w:pPr>
      <w:r w:rsidRPr="00141B8E">
        <w:rPr>
          <w:rFonts w:ascii="Arial" w:hAnsi="Arial" w:cs="Arial"/>
        </w:rPr>
        <w:t xml:space="preserve">Le </w:t>
      </w:r>
      <w:r w:rsidR="00022F5A" w:rsidRPr="00141B8E">
        <w:rPr>
          <w:rFonts w:ascii="Arial" w:hAnsi="Arial" w:cs="Arial"/>
        </w:rPr>
        <w:t xml:space="preserve">quatrième </w:t>
      </w:r>
      <w:r w:rsidRPr="00141B8E">
        <w:rPr>
          <w:rFonts w:ascii="Arial" w:hAnsi="Arial" w:cs="Arial"/>
        </w:rPr>
        <w:t>trimestre 2020 a été marqué par un</w:t>
      </w:r>
      <w:r w:rsidR="000B1574">
        <w:rPr>
          <w:rFonts w:ascii="Arial" w:hAnsi="Arial" w:cs="Arial"/>
        </w:rPr>
        <w:t xml:space="preserve"> ralentissement </w:t>
      </w:r>
      <w:r w:rsidRPr="00141B8E">
        <w:rPr>
          <w:rFonts w:ascii="Arial" w:hAnsi="Arial" w:cs="Arial"/>
        </w:rPr>
        <w:t xml:space="preserve">de la hausse des prix à la production industrielle. En effet, les prix à la production industrielle se sont accrus de </w:t>
      </w:r>
      <w:r w:rsidR="00141B8E">
        <w:rPr>
          <w:rFonts w:ascii="Arial" w:hAnsi="Arial" w:cs="Arial"/>
        </w:rPr>
        <w:t>0</w:t>
      </w:r>
      <w:r w:rsidRPr="00141B8E">
        <w:rPr>
          <w:rFonts w:ascii="Arial" w:hAnsi="Arial" w:cs="Arial"/>
        </w:rPr>
        <w:t xml:space="preserve">,7% au </w:t>
      </w:r>
      <w:r w:rsidR="00141B8E">
        <w:rPr>
          <w:rFonts w:ascii="Arial" w:hAnsi="Arial" w:cs="Arial"/>
        </w:rPr>
        <w:t>quatri</w:t>
      </w:r>
      <w:r w:rsidRPr="00141B8E">
        <w:rPr>
          <w:rFonts w:ascii="Arial" w:hAnsi="Arial" w:cs="Arial"/>
        </w:rPr>
        <w:t xml:space="preserve">ème trimestre 2020, en glissement annuel, contre </w:t>
      </w:r>
      <w:r w:rsidR="007335A5">
        <w:rPr>
          <w:rFonts w:ascii="Arial" w:hAnsi="Arial" w:cs="Arial"/>
        </w:rPr>
        <w:t>0</w:t>
      </w:r>
      <w:r w:rsidRPr="00141B8E">
        <w:rPr>
          <w:rFonts w:ascii="Arial" w:hAnsi="Arial" w:cs="Arial"/>
        </w:rPr>
        <w:t>,</w:t>
      </w:r>
      <w:r w:rsidR="007335A5">
        <w:rPr>
          <w:rFonts w:ascii="Arial" w:hAnsi="Arial" w:cs="Arial"/>
        </w:rPr>
        <w:t>9</w:t>
      </w:r>
      <w:r w:rsidRPr="00141B8E">
        <w:rPr>
          <w:rFonts w:ascii="Arial" w:hAnsi="Arial" w:cs="Arial"/>
        </w:rPr>
        <w:t xml:space="preserve">% de hausse notée toujours en glissement annuel au </w:t>
      </w:r>
      <w:r w:rsidR="007335A5">
        <w:rPr>
          <w:rFonts w:ascii="Arial" w:hAnsi="Arial" w:cs="Arial"/>
        </w:rPr>
        <w:t xml:space="preserve">troisième </w:t>
      </w:r>
      <w:r w:rsidRPr="00141B8E">
        <w:rPr>
          <w:rFonts w:ascii="Arial" w:hAnsi="Arial" w:cs="Arial"/>
        </w:rPr>
        <w:t xml:space="preserve">trimestre. Ce </w:t>
      </w:r>
      <w:r w:rsidR="00860339">
        <w:rPr>
          <w:rFonts w:ascii="Arial" w:hAnsi="Arial" w:cs="Arial"/>
        </w:rPr>
        <w:t xml:space="preserve">ralentissement de la hausse </w:t>
      </w:r>
      <w:r w:rsidRPr="00141B8E">
        <w:rPr>
          <w:rFonts w:ascii="Arial" w:hAnsi="Arial" w:cs="Arial"/>
        </w:rPr>
        <w:t xml:space="preserve">des prix à la production dans l’industrie </w:t>
      </w:r>
      <w:r w:rsidRPr="00FA71FF">
        <w:rPr>
          <w:rFonts w:ascii="Arial" w:hAnsi="Arial" w:cs="Arial"/>
        </w:rPr>
        <w:t xml:space="preserve">est le reflet de la </w:t>
      </w:r>
      <w:r w:rsidR="00860339" w:rsidRPr="00FA71FF">
        <w:rPr>
          <w:rFonts w:ascii="Arial" w:hAnsi="Arial" w:cs="Arial"/>
        </w:rPr>
        <w:t xml:space="preserve">décélération de la hausse </w:t>
      </w:r>
      <w:r w:rsidRPr="00FA71FF">
        <w:rPr>
          <w:rFonts w:ascii="Arial" w:hAnsi="Arial" w:cs="Arial"/>
        </w:rPr>
        <w:t>des prix de production dans l’industrie manufacturière (</w:t>
      </w:r>
      <w:r w:rsidR="00EF18B4" w:rsidRPr="00FA71FF">
        <w:rPr>
          <w:rFonts w:ascii="Arial" w:hAnsi="Arial" w:cs="Arial"/>
        </w:rPr>
        <w:t>+</w:t>
      </w:r>
      <w:r w:rsidR="00860339" w:rsidRPr="00FA71FF">
        <w:rPr>
          <w:rFonts w:ascii="Arial" w:hAnsi="Arial" w:cs="Arial"/>
        </w:rPr>
        <w:t>0,9% après 1,1%</w:t>
      </w:r>
      <w:r w:rsidRPr="00FA71FF">
        <w:rPr>
          <w:rFonts w:ascii="Arial" w:hAnsi="Arial" w:cs="Arial"/>
        </w:rPr>
        <w:t xml:space="preserve">) notamment </w:t>
      </w:r>
      <w:r w:rsidR="006538F4" w:rsidRPr="00FA71FF">
        <w:rPr>
          <w:rFonts w:ascii="Arial" w:hAnsi="Arial" w:cs="Arial"/>
        </w:rPr>
        <w:t>sous l’impulsion</w:t>
      </w:r>
      <w:r w:rsidRPr="00FA71FF">
        <w:rPr>
          <w:rFonts w:ascii="Arial" w:hAnsi="Arial" w:cs="Arial"/>
        </w:rPr>
        <w:t xml:space="preserve"> des prix </w:t>
      </w:r>
      <w:r w:rsidR="006538F4" w:rsidRPr="00FA71FF">
        <w:rPr>
          <w:rFonts w:ascii="Arial" w:hAnsi="Arial" w:cs="Arial"/>
        </w:rPr>
        <w:t xml:space="preserve">à la production </w:t>
      </w:r>
      <w:r w:rsidRPr="00FA71FF">
        <w:rPr>
          <w:rFonts w:ascii="Arial" w:hAnsi="Arial" w:cs="Arial"/>
        </w:rPr>
        <w:t>des</w:t>
      </w:r>
      <w:r w:rsidR="00153FCE" w:rsidRPr="00FA71FF">
        <w:rPr>
          <w:rFonts w:ascii="Arial" w:hAnsi="Arial" w:cs="Arial"/>
        </w:rPr>
        <w:t xml:space="preserve"> produits de l’industrie</w:t>
      </w:r>
      <w:r w:rsidRPr="00FA71FF">
        <w:rPr>
          <w:rFonts w:ascii="Arial" w:hAnsi="Arial" w:cs="Arial"/>
        </w:rPr>
        <w:t xml:space="preserve"> </w:t>
      </w:r>
      <w:r w:rsidR="00153FCE" w:rsidRPr="00FA71FF">
        <w:rPr>
          <w:rFonts w:ascii="Arial" w:hAnsi="Arial" w:cs="Arial"/>
        </w:rPr>
        <w:t>agro-</w:t>
      </w:r>
      <w:r w:rsidRPr="00FA71FF">
        <w:rPr>
          <w:rFonts w:ascii="Arial" w:hAnsi="Arial" w:cs="Arial"/>
        </w:rPr>
        <w:t>alimentaire</w:t>
      </w:r>
      <w:r w:rsidR="00153FCE" w:rsidRPr="00FA71FF">
        <w:rPr>
          <w:rFonts w:ascii="Arial" w:hAnsi="Arial" w:cs="Arial"/>
        </w:rPr>
        <w:t xml:space="preserve"> (</w:t>
      </w:r>
      <w:r w:rsidR="00EF18B4" w:rsidRPr="00FA71FF">
        <w:rPr>
          <w:rFonts w:ascii="Arial" w:hAnsi="Arial" w:cs="Arial"/>
        </w:rPr>
        <w:t>+1,0% après 1,1%</w:t>
      </w:r>
      <w:r w:rsidR="00153FCE" w:rsidRPr="00FA71FF">
        <w:rPr>
          <w:rFonts w:ascii="Arial" w:hAnsi="Arial" w:cs="Arial"/>
        </w:rPr>
        <w:t>)</w:t>
      </w:r>
      <w:r w:rsidR="00B13C60" w:rsidRPr="00FA71FF">
        <w:rPr>
          <w:rFonts w:ascii="Arial" w:hAnsi="Arial" w:cs="Arial"/>
        </w:rPr>
        <w:t xml:space="preserve"> </w:t>
      </w:r>
      <w:r w:rsidR="00153FCE" w:rsidRPr="00FA71FF">
        <w:rPr>
          <w:rFonts w:ascii="Arial" w:hAnsi="Arial" w:cs="Arial"/>
        </w:rPr>
        <w:t>et de l’industrie des matériaux minéraux (</w:t>
      </w:r>
      <w:r w:rsidR="00C30380" w:rsidRPr="00FA71FF">
        <w:rPr>
          <w:rFonts w:ascii="Arial" w:hAnsi="Arial" w:cs="Arial"/>
        </w:rPr>
        <w:t>-0,8% après 0,4%</w:t>
      </w:r>
      <w:r w:rsidR="00153FCE" w:rsidRPr="00FA71FF">
        <w:rPr>
          <w:rFonts w:ascii="Arial" w:hAnsi="Arial" w:cs="Arial"/>
        </w:rPr>
        <w:t>)</w:t>
      </w:r>
      <w:r w:rsidRPr="00141B8E">
        <w:rPr>
          <w:rFonts w:ascii="Arial" w:hAnsi="Arial" w:cs="Arial"/>
        </w:rPr>
        <w:t>.</w:t>
      </w:r>
      <w:r w:rsidR="006538F4">
        <w:rPr>
          <w:rFonts w:ascii="Arial" w:hAnsi="Arial" w:cs="Arial"/>
        </w:rPr>
        <w:t xml:space="preserve"> 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9111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0A6B38" w14:textId="77777777" w:rsidR="005E5BBD" w:rsidRDefault="005E5BBD">
      <w:pPr>
        <w:rPr>
          <w:rFonts w:ascii="Arial" w:hAnsi="Arial" w:cs="Arial"/>
          <w:sz w:val="20"/>
          <w:szCs w:val="20"/>
        </w:r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77777777" w:rsidR="00943E95" w:rsidRPr="009477ED" w:rsidRDefault="005E5BBD" w:rsidP="005E5BBD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 xml:space="preserve">Tableau 1 : 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C987CD" w14:textId="77777777" w:rsidR="00CB090F" w:rsidRPr="009477ED" w:rsidRDefault="00CB090F">
      <w:pPr>
        <w:rPr>
          <w:rFonts w:ascii="Arial" w:hAnsi="Arial" w:cs="Arial"/>
          <w:sz w:val="20"/>
          <w:szCs w:val="20"/>
        </w:rPr>
      </w:pPr>
    </w:p>
    <w:p w14:paraId="026B9A65" w14:textId="77777777" w:rsidR="00CB090F" w:rsidRPr="009477ED" w:rsidRDefault="00CB090F" w:rsidP="00CB090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 xml:space="preserve">Tableau 2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lastRenderedPageBreak/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0DC8F80E" w14:textId="77777777" w:rsidR="008B11D7" w:rsidRPr="009477ED" w:rsidRDefault="008B11D7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 xml:space="preserve">Tableau 3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CF6A87A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77777777" w:rsidR="008B11D7" w:rsidRPr="009477ED" w:rsidRDefault="008B11D7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4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77777777" w:rsidR="008B11D7" w:rsidRPr="009477ED" w:rsidRDefault="008B11D7" w:rsidP="00ED181C">
      <w:pPr>
        <w:tabs>
          <w:tab w:val="left" w:pos="1185"/>
        </w:tabs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5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77777777" w:rsidR="008B11D7" w:rsidRPr="009477ED" w:rsidRDefault="008B11D7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>Tableau 6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66F6429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77777777" w:rsidR="003D3642" w:rsidRPr="009477ED" w:rsidRDefault="003D3642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7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8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7EC1EF2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9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632881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315D820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77777777" w:rsidR="00784A58" w:rsidRPr="009477ED" w:rsidRDefault="00784A58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10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77777777" w:rsidR="00784A58" w:rsidRPr="009477ED" w:rsidRDefault="00784A58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11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lastRenderedPageBreak/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2EE56D2" w14:textId="4C85A089" w:rsidR="00B41B65" w:rsidRDefault="00B41B6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6C9757" w14:textId="77777777" w:rsidR="00B41B65" w:rsidRPr="009477ED" w:rsidRDefault="00B41B6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77777777" w:rsidR="00784A58" w:rsidRPr="009477ED" w:rsidRDefault="00784A58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 xml:space="preserve">Tableau </w:t>
      </w:r>
      <w:r w:rsidR="00E256EA" w:rsidRPr="009477ED">
        <w:rPr>
          <w:rFonts w:ascii="Arial" w:hAnsi="Arial" w:cs="Arial"/>
          <w:sz w:val="18"/>
          <w:szCs w:val="18"/>
        </w:rPr>
        <w:t>1</w:t>
      </w:r>
      <w:r w:rsidRPr="009477ED">
        <w:rPr>
          <w:rFonts w:ascii="Arial" w:hAnsi="Arial" w:cs="Arial"/>
          <w:sz w:val="18"/>
          <w:szCs w:val="18"/>
        </w:rPr>
        <w:t>2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lastRenderedPageBreak/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21DE4D4C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481D45" w14:textId="68D2ACF4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4206EC" w14:textId="77777777" w:rsidR="00D837D7" w:rsidRDefault="00D837D7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E4C3B4" w14:textId="77777777" w:rsidR="00966203" w:rsidRPr="009477ED" w:rsidRDefault="00966203" w:rsidP="00966203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10 : IPPI trimestriels – Type d’industries de 201</w:t>
      </w:r>
      <w:r>
        <w:rPr>
          <w:rFonts w:ascii="Arial" w:hAnsi="Arial" w:cs="Arial"/>
          <w:sz w:val="18"/>
          <w:szCs w:val="18"/>
        </w:rPr>
        <w:t>9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77777777" w:rsidR="00966203" w:rsidRPr="009477ED" w:rsidRDefault="00966203" w:rsidP="00966203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11 : IPPI trimestriels – Divisions regroupées de 201</w:t>
      </w:r>
      <w:r>
        <w:rPr>
          <w:rFonts w:ascii="Arial" w:hAnsi="Arial" w:cs="Arial"/>
          <w:sz w:val="18"/>
          <w:szCs w:val="18"/>
        </w:rPr>
        <w:t>9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lastRenderedPageBreak/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28B8B78" w14:textId="69A095BA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77777777" w:rsidR="00966203" w:rsidRPr="009477ED" w:rsidRDefault="00966203" w:rsidP="00966203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12 : IPPI trimestriels – Divisions de 201</w:t>
      </w:r>
      <w:r>
        <w:rPr>
          <w:rFonts w:ascii="Arial" w:hAnsi="Arial" w:cs="Arial"/>
          <w:sz w:val="18"/>
          <w:szCs w:val="18"/>
        </w:rPr>
        <w:t>9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lastRenderedPageBreak/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0F5E9FE0" w:rsidR="00D837D7" w:rsidRPr="00D837D7" w:rsidRDefault="00D837D7" w:rsidP="00D837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>3</w:t>
      </w:r>
      <w:r w:rsidRPr="009477ED">
        <w:rPr>
          <w:rFonts w:ascii="Arial" w:hAnsi="Arial" w:cs="Arial"/>
          <w:sz w:val="18"/>
          <w:szCs w:val="18"/>
        </w:rPr>
        <w:t> : IPPI trimestriels – Type d’industries de 20</w:t>
      </w:r>
      <w:r>
        <w:rPr>
          <w:rFonts w:ascii="Arial" w:hAnsi="Arial" w:cs="Arial"/>
          <w:sz w:val="18"/>
          <w:szCs w:val="18"/>
        </w:rPr>
        <w:t>20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25675B33" w14:textId="68F77290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7F2DD78" w14:textId="2EF3C886" w:rsidR="00D837D7" w:rsidRPr="00D837D7" w:rsidRDefault="00D837D7" w:rsidP="00D837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>4</w:t>
      </w:r>
      <w:r w:rsidRPr="009477ED">
        <w:rPr>
          <w:rFonts w:ascii="Arial" w:hAnsi="Arial" w:cs="Arial"/>
          <w:sz w:val="18"/>
          <w:szCs w:val="18"/>
        </w:rPr>
        <w:t> : IPPI trimestriels – Divisions regroupées de 20</w:t>
      </w:r>
      <w:r>
        <w:rPr>
          <w:rFonts w:ascii="Arial" w:hAnsi="Arial" w:cs="Arial"/>
          <w:sz w:val="18"/>
          <w:szCs w:val="18"/>
        </w:rPr>
        <w:t>20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BC2701" w:rsidRPr="000E4DCF" w14:paraId="2D14031D" w14:textId="6864ECB1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89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5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3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3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89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1C60EB">
        <w:trPr>
          <w:trHeight w:hRule="exact" w:val="554"/>
          <w:jc w:val="center"/>
        </w:trPr>
        <w:tc>
          <w:tcPr>
            <w:tcW w:w="5541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lastRenderedPageBreak/>
              <w:t>Industries du papier et du carton, imprimerie et reproduction d’enregistrement</w:t>
            </w:r>
          </w:p>
        </w:tc>
        <w:tc>
          <w:tcPr>
            <w:tcW w:w="1889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1C60EB">
        <w:trPr>
          <w:trHeight w:hRule="exact" w:val="562"/>
          <w:jc w:val="center"/>
        </w:trPr>
        <w:tc>
          <w:tcPr>
            <w:tcW w:w="5541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89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3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3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89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5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3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89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5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3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3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89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1C60EB">
        <w:trPr>
          <w:trHeight w:hRule="exact" w:val="516"/>
          <w:jc w:val="center"/>
        </w:trPr>
        <w:tc>
          <w:tcPr>
            <w:tcW w:w="5541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1F93EF62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E26D324" w14:textId="1C22D20E" w:rsidR="00D837D7" w:rsidRPr="00D837D7" w:rsidRDefault="00D837D7" w:rsidP="00D837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>5</w:t>
      </w:r>
      <w:r w:rsidRPr="009477ED">
        <w:rPr>
          <w:rFonts w:ascii="Arial" w:hAnsi="Arial" w:cs="Arial"/>
          <w:sz w:val="18"/>
          <w:szCs w:val="18"/>
        </w:rPr>
        <w:t> : IPPI trimestriels – Divisions de 20</w:t>
      </w:r>
      <w:r>
        <w:rPr>
          <w:rFonts w:ascii="Arial" w:hAnsi="Arial" w:cs="Arial"/>
          <w:sz w:val="18"/>
          <w:szCs w:val="18"/>
        </w:rPr>
        <w:t>20</w:t>
      </w:r>
      <w:r w:rsidRPr="009477ED">
        <w:rPr>
          <w:rFonts w:ascii="Arial" w:hAnsi="Arial" w:cs="Arial"/>
          <w:sz w:val="18"/>
          <w:szCs w:val="18"/>
        </w:rPr>
        <w:t xml:space="preserve"> - Année de référence 201</w:t>
      </w:r>
      <w:r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5"/>
        <w:gridCol w:w="1925"/>
      </w:tblGrid>
      <w:tr w:rsidR="00BC2701" w:rsidRPr="000E4DCF" w14:paraId="5B6E355B" w14:textId="4BD5E2A4" w:rsidTr="001E6E8D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5A045290" w14:textId="77777777" w:rsidR="00BC2701" w:rsidRPr="000E4DCF" w:rsidRDefault="00BC2701" w:rsidP="00BC2701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72E03EBE" w14:textId="4E7EB858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4B430CB" w14:textId="242A4DAA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FD3F676" w14:textId="3912D68B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31A8EBC8" w14:textId="22BD5F13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7649D38" w14:textId="55F527CE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B36D3" w:rsidRPr="000E4DCF" w14:paraId="3DE9C371" w14:textId="19F05FE9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E01D042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169F328B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4752E70" w14:textId="01761DE0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462CBAB" w14:textId="56A70571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D10A5C6" w14:textId="6088B2A7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59C3D12" w14:textId="773A96B8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7C7DF3F0" w14:textId="45DFA3B2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4BFB89B6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0BDEE5C9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03E9E0" w14:textId="42E0B333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926" w:type="dxa"/>
            <w:vAlign w:val="center"/>
          </w:tcPr>
          <w:p w14:paraId="0121FB42" w14:textId="6CC93BDD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5" w:type="dxa"/>
            <w:vAlign w:val="center"/>
          </w:tcPr>
          <w:p w14:paraId="40FAECB4" w14:textId="7F0A914E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925" w:type="dxa"/>
            <w:vAlign w:val="center"/>
          </w:tcPr>
          <w:p w14:paraId="2F97BA6F" w14:textId="53755FA3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</w:tr>
      <w:tr w:rsidR="001B36D3" w:rsidRPr="000E4DCF" w14:paraId="08DD5A6E" w14:textId="6AD7F4D6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07043421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475085DE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3D1DA5F" w14:textId="0EB6550A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72C721B" w14:textId="1EEC10E6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A8922D5" w14:textId="61510E83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9D89EA3" w14:textId="7DA691F3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7FA2F7CB" w14:textId="064ADECF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EE2D78C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4F73E86E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C7489F" w14:textId="21F9D78E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6" w:type="dxa"/>
            <w:vAlign w:val="center"/>
          </w:tcPr>
          <w:p w14:paraId="2CA8A43F" w14:textId="0B4378DA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2EEF94F4" w14:textId="367FEE48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925" w:type="dxa"/>
            <w:vAlign w:val="center"/>
          </w:tcPr>
          <w:p w14:paraId="01526DF7" w14:textId="64E504A4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B36D3" w:rsidRPr="000E4DCF" w14:paraId="74F24427" w14:textId="52514A23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A0911BF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38FA8E8D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D07424" w14:textId="39B47184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6" w:type="dxa"/>
            <w:vAlign w:val="center"/>
          </w:tcPr>
          <w:p w14:paraId="7F3B799B" w14:textId="23223220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7387EBE5" w14:textId="71E9CC2A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1395FD68" w14:textId="314A5F98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B36D3" w:rsidRPr="000E4DCF" w14:paraId="7CABA0A5" w14:textId="7C2731CE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0D2D834F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261319FC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02E703C" w14:textId="3BD037BF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6" w:type="dxa"/>
            <w:vAlign w:val="center"/>
          </w:tcPr>
          <w:p w14:paraId="45D8996F" w14:textId="56138AB2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5" w:type="dxa"/>
            <w:vAlign w:val="center"/>
          </w:tcPr>
          <w:p w14:paraId="616F8821" w14:textId="46BCA2CF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6AEA06E" w14:textId="4DBEB85D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1B36D3" w:rsidRPr="000E4DCF" w14:paraId="18EFC0A9" w14:textId="744D4159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F3EC6D0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1" w:type="dxa"/>
            <w:vAlign w:val="center"/>
          </w:tcPr>
          <w:p w14:paraId="065DF08F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CD3CD81" w14:textId="0F2C7EB6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1926" w:type="dxa"/>
            <w:vAlign w:val="center"/>
          </w:tcPr>
          <w:p w14:paraId="5CE24D01" w14:textId="3014D38B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925" w:type="dxa"/>
            <w:vAlign w:val="center"/>
          </w:tcPr>
          <w:p w14:paraId="6973877F" w14:textId="2A04411B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5" w:type="dxa"/>
            <w:vAlign w:val="center"/>
          </w:tcPr>
          <w:p w14:paraId="52D0E5AC" w14:textId="004278D6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1B36D3" w:rsidRPr="000E4DCF" w14:paraId="620DFD91" w14:textId="3307D885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40BECB5E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728CA2EC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60B742F" w14:textId="6E537F88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6" w:type="dxa"/>
            <w:vAlign w:val="center"/>
          </w:tcPr>
          <w:p w14:paraId="18532668" w14:textId="6ECABC1A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062D23B4" w14:textId="729F1C71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25" w:type="dxa"/>
            <w:vAlign w:val="center"/>
          </w:tcPr>
          <w:p w14:paraId="4F0A2269" w14:textId="5D130393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B36D3" w:rsidRPr="000E4DCF" w14:paraId="11C5F632" w14:textId="52D6E38B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4DC58D53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2ECB8757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15A536B" w14:textId="008B1A56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6" w:type="dxa"/>
            <w:vAlign w:val="center"/>
          </w:tcPr>
          <w:p w14:paraId="5113D472" w14:textId="42472D5E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5" w:type="dxa"/>
            <w:vAlign w:val="center"/>
          </w:tcPr>
          <w:p w14:paraId="26612212" w14:textId="3FA438A7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18E43DB1" w14:textId="1A1E3FC7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B36D3" w:rsidRPr="000E4DCF" w14:paraId="2D16D757" w14:textId="071F5BE3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72828838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14B0C50E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6493CE" w14:textId="22F30457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C84758A" w14:textId="1FEE59A0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D8E093" w14:textId="15F11749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914C9DD" w14:textId="5D16FBEC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5D111894" w14:textId="0D90F82F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604FF560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lastRenderedPageBreak/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76855CBB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B13853" w14:textId="791F1091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543719C" w14:textId="185097D5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8A0E56" w14:textId="66DD73C9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D8DCED6" w14:textId="58AFC2B4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1FC84ED2" w14:textId="14449E38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73E8CF56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1" w:type="dxa"/>
            <w:vAlign w:val="center"/>
          </w:tcPr>
          <w:p w14:paraId="456713D2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D75CAC6" w14:textId="080F5475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E70499D" w14:textId="43616D54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65B5F05" w14:textId="0BAC1220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7767FD8" w14:textId="63400A99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63B959EB" w14:textId="08134F79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628493F8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132D8E74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28BB532" w14:textId="73BA2A19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5BEA732" w14:textId="1016064F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A45F95" w14:textId="37FCB434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7DC8BCD" w14:textId="749A0EDF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00D7FD79" w14:textId="12EC362E" w:rsidTr="001B36D3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8BB72CC" w14:textId="77777777" w:rsidR="001B36D3" w:rsidRPr="000E4DCF" w:rsidRDefault="001B36D3" w:rsidP="001B36D3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2A2FE190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1DF3A90" w14:textId="184A61BC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ED28E8" w14:textId="67FDA89F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268FC52" w14:textId="093ACC88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AE73C1C" w14:textId="2FC53F0B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B36D3" w:rsidRPr="000E4DCF" w14:paraId="62CCE3A9" w14:textId="63F9B6E4" w:rsidTr="001B36D3">
        <w:trPr>
          <w:trHeight w:hRule="exact" w:val="397"/>
          <w:jc w:val="center"/>
        </w:trPr>
        <w:tc>
          <w:tcPr>
            <w:tcW w:w="5533" w:type="dxa"/>
          </w:tcPr>
          <w:p w14:paraId="7923B4EA" w14:textId="77777777" w:rsidR="001B36D3" w:rsidRPr="000E4DCF" w:rsidRDefault="001B36D3" w:rsidP="001B36D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69E06A6B" w14:textId="77777777" w:rsidR="001B36D3" w:rsidRPr="000E4DCF" w:rsidRDefault="001B36D3" w:rsidP="001B3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B8CB18B" w14:textId="3958F5A8" w:rsidR="001B36D3" w:rsidRPr="00C77883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6" w:type="dxa"/>
            <w:vAlign w:val="center"/>
          </w:tcPr>
          <w:p w14:paraId="615F8886" w14:textId="18FB25F3" w:rsidR="001B36D3" w:rsidRPr="000E4DCF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5" w:type="dxa"/>
            <w:vAlign w:val="center"/>
          </w:tcPr>
          <w:p w14:paraId="6771567D" w14:textId="75EB938C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5" w:type="dxa"/>
            <w:vAlign w:val="center"/>
          </w:tcPr>
          <w:p w14:paraId="7DEA35EC" w14:textId="69884B82" w:rsidR="001B36D3" w:rsidRPr="00C171A1" w:rsidRDefault="001B36D3" w:rsidP="001B36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6D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40FD4B0A" w14:textId="52F88EE0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48E0A6F" w14:textId="6D4D89FF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52B3EB47" w14:textId="6021585B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A478A40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5030370A" w14:textId="77777777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77777777" w:rsidR="00E50C97" w:rsidRPr="009477ED" w:rsidRDefault="00E50C97" w:rsidP="00E50C9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16 : IPPI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7A45AD86" w14:textId="77777777" w:rsidTr="004F6C6B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A5092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D181C"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DCA4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2CC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C9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3A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899A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A7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971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256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4F3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0C6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94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C9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2E7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74DC733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4D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EE1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CAD" w14:textId="5644BA1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A082" w14:textId="25A2E33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7823" w14:textId="74F2671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B98B" w14:textId="12693E6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F9BC" w14:textId="6A8C1B6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A53F" w14:textId="1C0365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36C8" w14:textId="4950429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68C7" w14:textId="271825E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7722" w14:textId="6472D07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08DA" w14:textId="23B4D60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6132" w14:textId="6B8482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985F" w14:textId="5593D5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C77883" w:rsidRPr="009477ED" w14:paraId="342EF419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4D0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5B0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80E1" w14:textId="2379CF8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1FD0" w14:textId="131B3AE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3DE" w14:textId="16B031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354D" w14:textId="005A483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BA05" w14:textId="2291FFF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0CA4" w14:textId="5614615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933F" w14:textId="66E850C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D0B" w14:textId="7970B9C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1F0" w14:textId="749360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4016" w14:textId="54E0858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8C44" w14:textId="446FD69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BB6" w14:textId="11879E4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77883" w:rsidRPr="009477ED" w14:paraId="3015BF53" w14:textId="77777777" w:rsidTr="00C77883">
        <w:trPr>
          <w:trHeight w:hRule="exact" w:val="52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38A7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2C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0A67" w14:textId="1ACF80E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F0A7" w14:textId="258FF9F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0B56" w14:textId="1F75B52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C5D2" w14:textId="01B4528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F27D" w14:textId="7DCE83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8027" w14:textId="769C334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A5F" w14:textId="6168AE9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CD0" w14:textId="07FDE74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8AC" w14:textId="329EC9F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18B" w14:textId="10B6D88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5124" w14:textId="519D9E0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79E6F" w14:textId="26C4CE29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77883" w:rsidRPr="009477ED" w14:paraId="6CFAC3D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311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CAB2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C822" w14:textId="6725BD4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A667" w14:textId="2DDB4A7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1DB" w14:textId="50C3E8B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02E4" w14:textId="06C333C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E" w14:textId="09A74D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CBA6" w14:textId="725C295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A20E" w14:textId="54AA9E4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CB93" w14:textId="308637E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B41A" w14:textId="281B37F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F9EC" w14:textId="373DD3A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C094" w14:textId="59EE2D0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2B2" w14:textId="21421A3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C77883" w:rsidRPr="009477ED" w14:paraId="654F88E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C64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7B6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03CD" w14:textId="1E5C21E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8B69" w14:textId="4F8E879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757" w14:textId="29F4ADC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8264" w14:textId="2ABBAA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921" w14:textId="7C7B3B2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6AC" w14:textId="1E98848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939A" w14:textId="5C22298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6319" w14:textId="259F259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7C25" w14:textId="6572B32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448C" w14:textId="7C4FC51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608" w14:textId="1B481E9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B5C1" w14:textId="38C9E1E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3F1A679C" w14:textId="77777777" w:rsidR="00ED181C" w:rsidRPr="00AF6B6F" w:rsidRDefault="00ED181C" w:rsidP="003A08F8">
      <w:pPr>
        <w:spacing w:before="120" w:after="120" w:line="360" w:lineRule="auto"/>
        <w:jc w:val="center"/>
        <w:rPr>
          <w:rFonts w:ascii="Arial" w:hAnsi="Arial" w:cs="Arial"/>
          <w:sz w:val="12"/>
          <w:szCs w:val="12"/>
        </w:rPr>
      </w:pPr>
    </w:p>
    <w:p w14:paraId="7305A3A3" w14:textId="77777777" w:rsidR="003A08F8" w:rsidRPr="009477ED" w:rsidRDefault="003A08F8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t>Tableau 16 : IPPI trimestriels – Type d’industries chainés à l’année de base 2015 (suite)</w:t>
      </w:r>
    </w:p>
    <w:tbl>
      <w:tblPr>
        <w:tblW w:w="1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028"/>
        <w:gridCol w:w="900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860"/>
        <w:gridCol w:w="860"/>
      </w:tblGrid>
      <w:tr w:rsidR="00824FFD" w:rsidRPr="000E4DCF" w14:paraId="098AE3D5" w14:textId="590A4AC9" w:rsidTr="001E6E8D">
        <w:trPr>
          <w:trHeight w:val="780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824FFD" w:rsidRPr="000E4DCF" w:rsidRDefault="00824FFD" w:rsidP="00824FFD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9F6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8550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C2AD3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3B58B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7777777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349A5052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23E55D85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3C963C5E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3EC93799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33A038F5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70090B47" w:rsidR="00824FFD" w:rsidRPr="000E4DCF" w:rsidRDefault="00824FFD" w:rsidP="00824F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</w:tr>
      <w:tr w:rsidR="001E6E8D" w:rsidRPr="000E4DCF" w14:paraId="4E8ADB89" w14:textId="165ACD0A" w:rsidTr="001E6E8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1E6E8D" w:rsidRPr="000E4DCF" w:rsidRDefault="001E6E8D" w:rsidP="001E6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74BD9C46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2921201E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76D9EDF2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218A4EF5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203D229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77A261D5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B901AA5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525B05EE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15797678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FC298E8" w:rsidR="001E6E8D" w:rsidRPr="00EC0B83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1770E8C8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619EF4BB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1E6E8D" w:rsidRPr="000E4DCF" w14:paraId="2BE6DE74" w14:textId="1646EAA3" w:rsidTr="001E6E8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1E6E8D" w:rsidRPr="000E4DCF" w:rsidRDefault="001E6E8D" w:rsidP="001E6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475592B0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38E938EA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66392DB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3A9BB4F9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027A991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344FB8A9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716BF2CD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54E9749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2A1F8CFE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1770A4B2" w:rsidR="001E6E8D" w:rsidRPr="00EC0B83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576B11E3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19A0768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</w:tr>
      <w:tr w:rsidR="001E6E8D" w:rsidRPr="000E4DCF" w14:paraId="1E4B2CF1" w14:textId="6AF5D966" w:rsidTr="001E6E8D">
        <w:trPr>
          <w:trHeight w:val="42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1E6E8D" w:rsidRPr="000E4DCF" w:rsidRDefault="001E6E8D" w:rsidP="001E6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24F30033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195B5C0D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60E7290D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1F1EB8C2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78A2A691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12DCFC71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42CD46F4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5827D88E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4D1B07BB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210480CE" w:rsidR="001E6E8D" w:rsidRPr="00EC0B83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44CE1994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31B82C31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E6E8D" w:rsidRPr="000E4DCF" w14:paraId="7288A969" w14:textId="0802B7A9" w:rsidTr="001E6E8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1E6E8D" w:rsidRPr="000E4DCF" w:rsidRDefault="001E6E8D" w:rsidP="001E6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50FBBE5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64C1DE34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C765F7B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6439F5C8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1E96DC7D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1C95714B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2C280178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15CD2D6A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1841D16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445C7AD5" w:rsidR="001E6E8D" w:rsidRPr="00EC0B83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AE10CCE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16B50E75" w:rsidR="001E6E8D" w:rsidRPr="00C171A1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1E6E8D" w:rsidRPr="000E4DCF" w14:paraId="7792BE35" w14:textId="734700DA" w:rsidTr="001E6E8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1E6E8D" w:rsidRPr="000E4DCF" w:rsidRDefault="001E6E8D" w:rsidP="001E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3E0088B6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35898E67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7928C88D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2CA2BFD6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7AA63CE5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67B1A52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4BADA2D1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F4BFC66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3AF86D41" w:rsidR="001E6E8D" w:rsidRPr="000E4DCF" w:rsidRDefault="001E6E8D" w:rsidP="001E6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67842CC7" w:rsidR="001E6E8D" w:rsidRPr="00EC0B83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54B6CA26" w:rsidR="001E6E8D" w:rsidRPr="001E6E8D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0375F750" w:rsidR="001E6E8D" w:rsidRPr="001E6E8D" w:rsidRDefault="001E6E8D" w:rsidP="001E6E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77777777" w:rsidR="003803D1" w:rsidRPr="009477ED" w:rsidRDefault="003803D1" w:rsidP="003803D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 xml:space="preserve">Tableau 17 : IPPI trimestriels – Divisions regroupées chainés à l’année de base 2015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FA2AD2A" w14:textId="77777777" w:rsidTr="003C30D8">
        <w:trPr>
          <w:trHeight w:val="531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27A84702" w14:textId="77777777" w:rsidR="003803D1" w:rsidRPr="009477ED" w:rsidRDefault="003803D1" w:rsidP="003C30D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7DB8F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AECFB4A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711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C90684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AFCA86F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59D678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13E9E455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EE94841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685A20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FA4E9A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4A3F3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0D1792E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F22A86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468FFCB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ED9FDE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ED372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6945D5" w14:textId="377F0B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A8C97A" w14:textId="1FD644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464A01" w14:textId="7A1D874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91C56D" w14:textId="59DBFF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E839" w14:textId="67D334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CB5B1" w14:textId="2C88D93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22F8C1" w14:textId="1900E10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ADD976" w14:textId="51C594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7C3313" w14:textId="23D232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02404" w14:textId="51E937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3270B3" w14:textId="7AF063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1A70E0" w14:textId="732057C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E336A9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9CDF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D02213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81189" w14:textId="3AD520B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859E6B" w14:textId="1D553D8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B4D35" w14:textId="6A2692E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6DB808" w14:textId="64DF65F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39D336" w14:textId="6958773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68A353" w14:textId="01E2972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4E5F6C" w14:textId="6CCD9E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AF9BE2" w14:textId="2733DA0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FC0B70" w14:textId="0B40B9A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4F9576" w14:textId="4D1E22F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25BE8A" w14:textId="183030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0B727A" w14:textId="0BC279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</w:tr>
      <w:tr w:rsidR="00C77883" w:rsidRPr="009477ED" w14:paraId="06D6D3C6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8D0C82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258F32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F3654E" w14:textId="3ECA16C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229A5" w14:textId="69D8EE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845D49" w14:textId="423E56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FB71CB" w14:textId="6C7E0DF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93C07" w14:textId="3AEA86F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0DD17" w14:textId="52494BA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7EA1A3" w14:textId="60E9661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0B9B5F" w14:textId="74FF7C2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5444FB" w14:textId="084B4D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E7373C" w14:textId="4BE30CF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3EE1C6" w14:textId="60767F4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682EC4" w14:textId="3CFDD58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</w:tr>
      <w:tr w:rsidR="00C77883" w:rsidRPr="009477ED" w14:paraId="28A18425" w14:textId="77777777" w:rsidTr="00C77883">
        <w:trPr>
          <w:trHeight w:hRule="exact" w:val="694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A86F9B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27CB5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AF7515" w14:textId="70F59D3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B893C" w14:textId="199D4CE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3C9E22" w14:textId="429B1DF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8B684C" w14:textId="53DA735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2D25AB" w14:textId="7E8790D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0AE6EA" w14:textId="31CB955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497806" w14:textId="6A2C13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8E4FEC" w14:textId="37FF7A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9D1775" w14:textId="5F0A9B9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9ADC3" w14:textId="34FF16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ABC58A" w14:textId="3910988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C625B7" w14:textId="4CB9530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F487A17" w14:textId="77777777" w:rsidTr="00C77883">
        <w:trPr>
          <w:trHeight w:hRule="exact" w:val="56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574E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682E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9E5B7" w14:textId="7CB4274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13E5D9E" w14:textId="265313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9A62D3" w14:textId="5C29817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CDE5D6" w14:textId="3F59A95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F70A87" w14:textId="6DC193D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5B9C70" w14:textId="365286C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D1B6E" w14:textId="1708BB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61FAEA" w14:textId="451CAD2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3C670" w14:textId="782BD27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4091F4" w14:textId="4436E20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2BFA41" w14:textId="0889C72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2C8DCB" w14:textId="28A9641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</w:tr>
      <w:tr w:rsidR="00C77883" w:rsidRPr="009477ED" w14:paraId="2C795162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8099E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9DDD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C185E" w14:textId="05712F5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7F8705" w14:textId="623272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6B9F7D" w14:textId="44634EC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D23BA0" w14:textId="30D29B3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465252" w14:textId="1A993BD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D114E3" w14:textId="0398623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1B4778" w14:textId="07FBE4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19BEF" w14:textId="657A795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181BC2" w14:textId="268CD85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DA596" w14:textId="0454592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6499A" w14:textId="32EBDA1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72782D" w14:textId="1D1AB0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470D4138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533D9F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3DCFD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C4A24" w14:textId="23FC5E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9546D5" w14:textId="23C3C05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B27AE" w14:textId="27B63B7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E10EF" w14:textId="1513519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9C68AD" w14:textId="212DEB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68BC79" w14:textId="79A2A36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1318BE" w14:textId="6F62E8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A8FFFF" w14:textId="40823B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71D319" w14:textId="5F30A7F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BC2A7F" w14:textId="68A77C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B6F765" w14:textId="7C5689D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3DAC71" w14:textId="1EF2570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296251F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8BD6D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BDB34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925A1E" w14:textId="5202105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980FC3" w14:textId="3439E7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A15DD1" w14:textId="2C73B4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8FAAF" w14:textId="6DD515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D5EAA9" w14:textId="22A289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981C21" w14:textId="508B5E4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7BE372" w14:textId="0DAD516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174DE" w14:textId="4D18439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7D2411" w14:textId="36E6D9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DDD7B97" w14:textId="513383F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B1A6A" w14:textId="405B04A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0FDB7" w14:textId="7ECE7E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15E3A3FB" w14:textId="77777777" w:rsidTr="00C77883">
        <w:trPr>
          <w:trHeight w:hRule="exact" w:val="502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BEE32B7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C57BE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5EF5E2" w14:textId="52C549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0B9B1F" w14:textId="7598085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4ABAB1" w14:textId="6486027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E90E9E" w14:textId="0419AD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E26FAE" w14:textId="681E33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E34D77" w14:textId="69A1924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1F8D3F" w14:textId="767611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7A7A84" w14:textId="2A9894E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AB826" w14:textId="3A95CD6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376B5C" w14:textId="1FF657B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1EA0C2" w14:textId="4890CDA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0A0160" w14:textId="762E009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471E92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916A1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3C039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621FF5" w14:textId="5DD89B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0AFA7" w14:textId="59CED1C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0F759A" w14:textId="6E538A5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F9047" w14:textId="15EE7EB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EECD09" w14:textId="798060B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C928E" w14:textId="4D0A25D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CF4BF2" w14:textId="195A84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A14E24" w14:textId="408C4D8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FA301" w14:textId="6186A52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5D34CE" w14:textId="0579DD9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F9BB4" w14:textId="2F360A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50C33" w14:textId="4731158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77883" w:rsidRPr="009477ED" w14:paraId="2879A4A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109605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C1E3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368740" w14:textId="5A239B0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EF8D2C" w14:textId="22FE256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07B29E" w14:textId="0AED57BB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5C24E1" w14:textId="4E4B51B6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FF782C" w14:textId="3A8A967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B1FECF" w14:textId="71BB744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8933CD" w14:textId="3F67A25A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9508D5" w14:textId="05CC2E24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808031" w14:textId="0512CD9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C27CBE" w14:textId="3D6590F1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84D8D" w14:textId="7C762FC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0413D5" w14:textId="5D1421BC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77777777" w:rsidR="003A08F8" w:rsidRPr="009477ED" w:rsidRDefault="003A08F8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>Tableau 17 : IPPI trimestriels – Divisions regroupées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1029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862"/>
        <w:gridCol w:w="862"/>
      </w:tblGrid>
      <w:tr w:rsidR="00EA59EE" w:rsidRPr="000E4DCF" w14:paraId="34102284" w14:textId="621DD982" w:rsidTr="001E6E8D">
        <w:trPr>
          <w:trHeight w:val="780"/>
          <w:jc w:val="center"/>
        </w:trPr>
        <w:tc>
          <w:tcPr>
            <w:tcW w:w="3363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EA59EE" w:rsidRPr="000E4DCF" w:rsidRDefault="00EA59EE" w:rsidP="00EA59E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66311F72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059049DC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0B6E308D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  <w:hideMark/>
          </w:tcPr>
          <w:p w14:paraId="1D494A78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FBAAEBE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7CE7DFF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0F7ED61" w14:textId="7347171A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67DC397" w14:textId="484CE26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9BFFD67" w14:textId="6DCB2B85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331E741" w14:textId="79E7BA98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58BE7B1" w14:textId="14E07118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E2E33BC" w14:textId="425C4FDB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</w:tr>
      <w:tr w:rsidR="00587BE4" w:rsidRPr="000E4DCF" w14:paraId="14AC0471" w14:textId="3D836F2A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6A08F99E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755D102A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E421F6F" w14:textId="5F1A0FE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9BCA8B0" w14:textId="05E0889B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5A026B9" w14:textId="11E54F92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FA8FA7" w14:textId="252A3C6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7665CAAA" w14:textId="605CF7C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3A1CC329" w14:textId="6999EFB2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181CB190" w14:textId="518D632B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0B2C3C35" w14:textId="38224ADA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0DF693F5" w14:textId="166AB13D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1" w:type="dxa"/>
            <w:vAlign w:val="center"/>
          </w:tcPr>
          <w:p w14:paraId="63E01AFC" w14:textId="1E9585B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62" w:type="dxa"/>
            <w:vAlign w:val="center"/>
          </w:tcPr>
          <w:p w14:paraId="0BB35065" w14:textId="6936D8B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62" w:type="dxa"/>
            <w:vAlign w:val="center"/>
          </w:tcPr>
          <w:p w14:paraId="764C7D1D" w14:textId="78243F76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587BE4" w:rsidRPr="000E4DCF" w14:paraId="419F89C3" w14:textId="6F68C016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26332524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13249180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EE908C" w14:textId="56A42D4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72C3BC6" w14:textId="7369CE9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6FE10F2" w14:textId="3D28445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DCCA9C" w14:textId="4CD369D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01" w:type="dxa"/>
            <w:vAlign w:val="center"/>
          </w:tcPr>
          <w:p w14:paraId="6055B370" w14:textId="659056F0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901" w:type="dxa"/>
            <w:vAlign w:val="center"/>
          </w:tcPr>
          <w:p w14:paraId="52D1B7C3" w14:textId="6D641C5C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901" w:type="dxa"/>
            <w:vAlign w:val="center"/>
          </w:tcPr>
          <w:p w14:paraId="39CFD5E2" w14:textId="34A0FA32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901" w:type="dxa"/>
            <w:vAlign w:val="center"/>
          </w:tcPr>
          <w:p w14:paraId="3671A2CB" w14:textId="1EAB24E9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901" w:type="dxa"/>
            <w:vAlign w:val="center"/>
          </w:tcPr>
          <w:p w14:paraId="7F17970D" w14:textId="1CB43C7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01" w:type="dxa"/>
            <w:vAlign w:val="center"/>
          </w:tcPr>
          <w:p w14:paraId="4862878E" w14:textId="3ABCCBD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862" w:type="dxa"/>
            <w:vAlign w:val="center"/>
          </w:tcPr>
          <w:p w14:paraId="587A4988" w14:textId="77E43684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862" w:type="dxa"/>
            <w:vAlign w:val="center"/>
          </w:tcPr>
          <w:p w14:paraId="209E0441" w14:textId="090C502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</w:tr>
      <w:tr w:rsidR="00587BE4" w:rsidRPr="000E4DCF" w14:paraId="50AE0074" w14:textId="6915F99E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2074DF06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3E9CB336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C93E3C7" w14:textId="5946241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09615DE" w14:textId="72E387D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8D1D7EA" w14:textId="1DDECB6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55505FF" w14:textId="072ECE5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901" w:type="dxa"/>
            <w:vAlign w:val="center"/>
          </w:tcPr>
          <w:p w14:paraId="19D3E73F" w14:textId="29AFC7B6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01" w:type="dxa"/>
            <w:vAlign w:val="center"/>
          </w:tcPr>
          <w:p w14:paraId="715B2D08" w14:textId="578D699B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01" w:type="dxa"/>
            <w:vAlign w:val="center"/>
          </w:tcPr>
          <w:p w14:paraId="27FC7BA8" w14:textId="67194D00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01" w:type="dxa"/>
            <w:vAlign w:val="center"/>
          </w:tcPr>
          <w:p w14:paraId="6966FE17" w14:textId="50ABF63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01" w:type="dxa"/>
            <w:vAlign w:val="center"/>
          </w:tcPr>
          <w:p w14:paraId="04CCEBF3" w14:textId="72F98E4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01" w:type="dxa"/>
            <w:vAlign w:val="center"/>
          </w:tcPr>
          <w:p w14:paraId="50E3A0A0" w14:textId="0022C727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62" w:type="dxa"/>
            <w:vAlign w:val="center"/>
          </w:tcPr>
          <w:p w14:paraId="1EF7DE5A" w14:textId="513EC8D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62" w:type="dxa"/>
            <w:vAlign w:val="center"/>
          </w:tcPr>
          <w:p w14:paraId="0B161198" w14:textId="70AC6168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</w:tr>
      <w:tr w:rsidR="00587BE4" w:rsidRPr="000E4DCF" w14:paraId="6F5FAA01" w14:textId="68ADBCF9" w:rsidTr="00587BE4">
        <w:trPr>
          <w:trHeight w:hRule="exact" w:val="726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3E543EAD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40F55933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F6BD804" w14:textId="5AA20F1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4AC6CE" w14:textId="16293195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AB98CE6" w14:textId="455FE74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5F3903" w14:textId="0B37CFC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F1AD952" w14:textId="772AE85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340FDF3A" w14:textId="44207D1E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DB48046" w14:textId="2D6CB932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01" w:type="dxa"/>
            <w:vAlign w:val="center"/>
          </w:tcPr>
          <w:p w14:paraId="2D51644C" w14:textId="3F09901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01" w:type="dxa"/>
            <w:vAlign w:val="center"/>
          </w:tcPr>
          <w:p w14:paraId="290371AD" w14:textId="4D6596C2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1" w:type="dxa"/>
            <w:vAlign w:val="center"/>
          </w:tcPr>
          <w:p w14:paraId="60E223B3" w14:textId="615251C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62" w:type="dxa"/>
            <w:vAlign w:val="center"/>
          </w:tcPr>
          <w:p w14:paraId="47B5ED9B" w14:textId="2E18C8FD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62" w:type="dxa"/>
            <w:vAlign w:val="center"/>
          </w:tcPr>
          <w:p w14:paraId="6C37849B" w14:textId="07E36F80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587BE4" w:rsidRPr="000E4DCF" w14:paraId="77142987" w14:textId="28E71A95" w:rsidTr="00587BE4">
        <w:trPr>
          <w:trHeight w:hRule="exact" w:val="56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4409DF0D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49BEC4C6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68FAB9C" w14:textId="4373F52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0B744AE" w14:textId="52919D15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1D2AC37" w14:textId="3744116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258E21" w14:textId="495BC5E0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  <w:tc>
          <w:tcPr>
            <w:tcW w:w="901" w:type="dxa"/>
            <w:vAlign w:val="center"/>
          </w:tcPr>
          <w:p w14:paraId="2DCA3ACB" w14:textId="60C3041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01" w:type="dxa"/>
            <w:vAlign w:val="center"/>
          </w:tcPr>
          <w:p w14:paraId="423E3711" w14:textId="34806E1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01" w:type="dxa"/>
            <w:vAlign w:val="center"/>
          </w:tcPr>
          <w:p w14:paraId="09BDBCE7" w14:textId="3E0B9D9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01" w:type="dxa"/>
            <w:vAlign w:val="center"/>
          </w:tcPr>
          <w:p w14:paraId="50ECDA85" w14:textId="5EA905F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01" w:type="dxa"/>
            <w:vAlign w:val="center"/>
          </w:tcPr>
          <w:p w14:paraId="441E5700" w14:textId="1BF19529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01" w:type="dxa"/>
            <w:vAlign w:val="center"/>
          </w:tcPr>
          <w:p w14:paraId="0138CE28" w14:textId="34C396E6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862" w:type="dxa"/>
            <w:vAlign w:val="center"/>
          </w:tcPr>
          <w:p w14:paraId="428E6122" w14:textId="4E80C71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862" w:type="dxa"/>
            <w:vAlign w:val="center"/>
          </w:tcPr>
          <w:p w14:paraId="44F38BBD" w14:textId="3D6215B8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</w:tr>
      <w:tr w:rsidR="00587BE4" w:rsidRPr="000E4DCF" w14:paraId="7F02557E" w14:textId="4E44A1AF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5B8A0C03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9FBC58D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AD692BB" w14:textId="396B4919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4C7E7FA" w14:textId="63E029D5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41B25B6" w14:textId="29B1C3D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08259F6" w14:textId="23B30BCA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901" w:type="dxa"/>
            <w:vAlign w:val="center"/>
          </w:tcPr>
          <w:p w14:paraId="43C1F79A" w14:textId="26D8017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01" w:type="dxa"/>
            <w:vAlign w:val="center"/>
          </w:tcPr>
          <w:p w14:paraId="0344A27F" w14:textId="47BC740A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01" w:type="dxa"/>
            <w:vAlign w:val="center"/>
          </w:tcPr>
          <w:p w14:paraId="01C8E9D5" w14:textId="23BC869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01" w:type="dxa"/>
            <w:vAlign w:val="center"/>
          </w:tcPr>
          <w:p w14:paraId="6432388F" w14:textId="12850CDB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01" w:type="dxa"/>
            <w:vAlign w:val="center"/>
          </w:tcPr>
          <w:p w14:paraId="23713E64" w14:textId="3EE06A1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1" w:type="dxa"/>
            <w:vAlign w:val="center"/>
          </w:tcPr>
          <w:p w14:paraId="4F861FCE" w14:textId="5A3BFEC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862" w:type="dxa"/>
            <w:vAlign w:val="center"/>
          </w:tcPr>
          <w:p w14:paraId="5817860B" w14:textId="4AA971D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862" w:type="dxa"/>
            <w:vAlign w:val="center"/>
          </w:tcPr>
          <w:p w14:paraId="39FB901D" w14:textId="6181B16D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</w:tr>
      <w:tr w:rsidR="00587BE4" w:rsidRPr="000E4DCF" w14:paraId="4105936D" w14:textId="02D484B3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1796C719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60DB88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4D2B4E4" w14:textId="73FB6FB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272696B" w14:textId="0FF91081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A42F880" w14:textId="60FADCA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6441D0C" w14:textId="12F10BC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01" w:type="dxa"/>
            <w:vAlign w:val="center"/>
          </w:tcPr>
          <w:p w14:paraId="7E1B00F7" w14:textId="445DA1D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01" w:type="dxa"/>
            <w:vAlign w:val="center"/>
          </w:tcPr>
          <w:p w14:paraId="6D00F8FE" w14:textId="5716990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01" w:type="dxa"/>
            <w:vAlign w:val="center"/>
          </w:tcPr>
          <w:p w14:paraId="293C7586" w14:textId="18FABA21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01" w:type="dxa"/>
            <w:vAlign w:val="center"/>
          </w:tcPr>
          <w:p w14:paraId="16393FAD" w14:textId="65C34A1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01" w:type="dxa"/>
            <w:vAlign w:val="center"/>
          </w:tcPr>
          <w:p w14:paraId="4211C3EE" w14:textId="2C572B2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01" w:type="dxa"/>
            <w:vAlign w:val="center"/>
          </w:tcPr>
          <w:p w14:paraId="0C75F9F0" w14:textId="53BEA6A7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862" w:type="dxa"/>
            <w:vAlign w:val="center"/>
          </w:tcPr>
          <w:p w14:paraId="1855408E" w14:textId="540C4522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862" w:type="dxa"/>
            <w:vAlign w:val="center"/>
          </w:tcPr>
          <w:p w14:paraId="2DF38A8A" w14:textId="75C51BD7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</w:tr>
      <w:tr w:rsidR="00587BE4" w:rsidRPr="000E4DCF" w14:paraId="303F2E94" w14:textId="73169CDC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0DF5940B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3D1C80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07B1E4F" w14:textId="5353F315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E46A54C" w14:textId="56A14B6A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404455" w14:textId="04D6F2BC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78A1DB0" w14:textId="452AC5E0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18A1B43E" w14:textId="14F6095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0E8C770F" w14:textId="3DD0A505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2FA0465" w14:textId="085791E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6BC9D3A6" w14:textId="2285F429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78D1DEA" w14:textId="4FEC517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5F403A83" w14:textId="140FD2FF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62" w:type="dxa"/>
            <w:vAlign w:val="center"/>
          </w:tcPr>
          <w:p w14:paraId="4F4B4A4A" w14:textId="3E1E31CA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62" w:type="dxa"/>
            <w:vAlign w:val="center"/>
          </w:tcPr>
          <w:p w14:paraId="458C94C4" w14:textId="2768F238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6E76CC7F" w14:textId="3D33EBF6" w:rsidTr="00587BE4">
        <w:trPr>
          <w:trHeight w:hRule="exact" w:val="50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02EAB764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8A1FB8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AEF85A7" w14:textId="4C98948D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1E71DCC" w14:textId="1487B4A6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A6EE267" w14:textId="352A0C76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AF06FEB" w14:textId="292CE1A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50276CB" w14:textId="39D8EABB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6A941D4A" w14:textId="51B1CA7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1D57A3BE" w14:textId="2CB142D3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249A2C69" w14:textId="275D5B5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777D7DE4" w14:textId="0F2431E2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vAlign w:val="center"/>
          </w:tcPr>
          <w:p w14:paraId="44FAE926" w14:textId="11EB7420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62" w:type="dxa"/>
            <w:vAlign w:val="center"/>
          </w:tcPr>
          <w:p w14:paraId="11812F1E" w14:textId="10D2998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62" w:type="dxa"/>
            <w:vAlign w:val="center"/>
          </w:tcPr>
          <w:p w14:paraId="0BEFFE28" w14:textId="7A57FEA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4D0B77E4" w14:textId="10F60A71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5E900B29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7091ACE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5634CB" w14:textId="02BEA798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D340F0F" w14:textId="6730196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329EF3" w14:textId="3B4B848C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E08845B" w14:textId="5B28D091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77CA53C0" w14:textId="47D61F1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27FBD70A" w14:textId="7C74B6EF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73CDC89D" w14:textId="249AE464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114D5AFF" w14:textId="653883A7" w:rsidR="00587BE4" w:rsidRPr="0003278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316EF62D" w14:textId="39FCA13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01" w:type="dxa"/>
            <w:vAlign w:val="center"/>
          </w:tcPr>
          <w:p w14:paraId="6CA45CFA" w14:textId="50F501F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62" w:type="dxa"/>
            <w:vAlign w:val="center"/>
          </w:tcPr>
          <w:p w14:paraId="30795C6C" w14:textId="62585237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62" w:type="dxa"/>
            <w:vAlign w:val="center"/>
          </w:tcPr>
          <w:p w14:paraId="49FB5695" w14:textId="7156F5BF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587BE4" w:rsidRPr="000E4DCF" w14:paraId="3615618A" w14:textId="4A35818C" w:rsidTr="00587BE4">
        <w:trPr>
          <w:trHeight w:hRule="exact" w:val="397"/>
          <w:jc w:val="center"/>
        </w:trPr>
        <w:tc>
          <w:tcPr>
            <w:tcW w:w="3363" w:type="dxa"/>
            <w:shd w:val="clear" w:color="auto" w:fill="auto"/>
            <w:vAlign w:val="center"/>
          </w:tcPr>
          <w:p w14:paraId="4C0352C6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68B53D1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A1B4342" w14:textId="51292DC5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2EFF5A6" w14:textId="33CDD089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AAF9D65" w14:textId="79C5D5CF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E361F74" w14:textId="35A84F53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01" w:type="dxa"/>
            <w:vAlign w:val="center"/>
          </w:tcPr>
          <w:p w14:paraId="2D619755" w14:textId="14F7F700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1" w:type="dxa"/>
            <w:vAlign w:val="center"/>
          </w:tcPr>
          <w:p w14:paraId="13F76AD4" w14:textId="07CB784C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01" w:type="dxa"/>
            <w:vAlign w:val="center"/>
          </w:tcPr>
          <w:p w14:paraId="70B0F62B" w14:textId="23D29F0D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01" w:type="dxa"/>
            <w:vAlign w:val="center"/>
          </w:tcPr>
          <w:p w14:paraId="63516C81" w14:textId="622C8C57" w:rsidR="00587BE4" w:rsidRPr="00EC0B8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01" w:type="dxa"/>
            <w:vAlign w:val="center"/>
          </w:tcPr>
          <w:p w14:paraId="1F658247" w14:textId="229BEBAD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01" w:type="dxa"/>
            <w:vAlign w:val="center"/>
          </w:tcPr>
          <w:p w14:paraId="41504296" w14:textId="537DF14C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62" w:type="dxa"/>
            <w:vAlign w:val="center"/>
          </w:tcPr>
          <w:p w14:paraId="0F2A36F5" w14:textId="219EC189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862" w:type="dxa"/>
            <w:vAlign w:val="center"/>
          </w:tcPr>
          <w:p w14:paraId="01B7B586" w14:textId="62735ED6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77777777" w:rsidR="005549A4" w:rsidRPr="009477ED" w:rsidRDefault="005549A4" w:rsidP="005549A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>Tableau 18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DB56E4D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D9C6D7" w14:textId="09A24B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AE18EE" w14:textId="32475AD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FF5D92" w14:textId="767526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4ECB51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AC8C11" w14:textId="0218872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865186" w14:textId="0204A9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26A81" w14:textId="07F2C2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</w:tr>
      <w:tr w:rsidR="00C77883" w:rsidRPr="009477ED" w14:paraId="2FEAD987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8BEA3" w14:textId="601E0B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465633" w14:textId="7BBDC5C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6593FC" w14:textId="3A59C6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</w:tr>
      <w:tr w:rsidR="00C77883" w:rsidRPr="009477ED" w14:paraId="57275651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D8BFB7" w14:textId="25A07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3F8B20" w14:textId="1766D7E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C91494" w14:textId="5F767E6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</w:tr>
      <w:tr w:rsidR="00C77883" w:rsidRPr="009477ED" w14:paraId="453707FC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B27587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A7EF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649AA0" w14:textId="5FDC37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8CB303" w14:textId="1E46E35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BC2720" w14:textId="208BF7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35B079" w14:textId="349304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BFCE20" w14:textId="07233F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5375FF" w14:textId="6E42A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E27F59" w14:textId="0D7278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3C2649" w14:textId="7B84DA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95BE1F" w14:textId="32C6107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AB91FD" w14:textId="7371809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0C71DF" w14:textId="645FDE6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9657B" w14:textId="4CE3E77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59563B2A" w14:textId="77777777" w:rsidTr="00EC0B83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128FEA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361B24E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4A63382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740F980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5FBE0DC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19228D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5D97EF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C77883" w:rsidRPr="009477ED" w14:paraId="1580484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09A69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56FBAA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0FCB9F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</w:tr>
      <w:tr w:rsidR="00C77883" w:rsidRPr="009477ED" w14:paraId="620144D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39E5B6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CA8C3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315EE2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7FA345A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221BBA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1CDACF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115DDAF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5A11FD9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E9DB7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33A197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593FF92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B35BA10" w14:textId="77777777" w:rsidTr="00EC0B83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4361FE4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21649C2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2BC713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3F8FC4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67DEB96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667CBEF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5AB6522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2DCABD2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683BF04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5E7D0B1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7E202A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6B2FF338" w14:textId="77777777" w:rsidTr="00EC0B83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95FA8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05D2204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692D5C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C77883" w:rsidRPr="009477ED" w14:paraId="69234AE4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631923C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567F4A49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6C51B20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77777777" w:rsidR="003A08F8" w:rsidRPr="009477ED" w:rsidRDefault="003A08F8" w:rsidP="003A08F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>Tableau 18 : IPPI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AF2E4F" w:rsidRPr="009477ED" w14:paraId="10824614" w14:textId="03356CD8" w:rsidTr="00AF2E4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EC0B83" w:rsidRPr="009477ED" w14:paraId="5395B4AC" w14:textId="32A1E72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C0B83" w:rsidRPr="009477ED" w14:paraId="676342E9" w14:textId="6469C31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</w:tr>
      <w:tr w:rsidR="00EC0B83" w:rsidRPr="009477ED" w14:paraId="785DED9C" w14:textId="50555C1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EC0B83" w:rsidRPr="009477ED" w14:paraId="76F4185B" w14:textId="78E525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</w:tr>
      <w:tr w:rsidR="00EC0B83" w:rsidRPr="009477ED" w14:paraId="368FF806" w14:textId="5FC890D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D57413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76C9817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9966" w14:textId="1511211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0BF3D" w14:textId="4D3002D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55130" w14:textId="45EAD45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6889F7" w14:textId="5CE1EC3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5BF44D76" w14:textId="711C0317" w:rsidTr="00EC0B83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CDB970A" w14:textId="16BC58A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EC0B83" w:rsidRPr="009477ED" w14:paraId="00E262D5" w14:textId="05F2D5DE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</w:tr>
      <w:tr w:rsidR="00EC0B83" w:rsidRPr="009477ED" w14:paraId="24E44A44" w14:textId="2E2833A6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</w:tr>
      <w:tr w:rsidR="00EC0B83" w:rsidRPr="009477ED" w14:paraId="4EBF8143" w14:textId="06E5394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</w:tr>
      <w:tr w:rsidR="00EC0B83" w:rsidRPr="009477ED" w14:paraId="44F54D7C" w14:textId="2054E875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1C3606F2" w14:textId="203A73C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63F7A39A" w14:textId="3B8B05D8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4EF3CED5" w14:textId="4EADED5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DB74EDB" w14:textId="7AAC22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C0B83" w:rsidRPr="009477ED" w14:paraId="49073A18" w14:textId="6DE8A2C1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77777777" w:rsidR="00AF2E4F" w:rsidRPr="009477ED" w:rsidRDefault="00AF2E4F" w:rsidP="00AF2E4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lastRenderedPageBreak/>
        <w:t>Tableau 18 : IPPI trimestriels – Divisions chainés à l’année de base 2015 (suite)</w:t>
      </w:r>
    </w:p>
    <w:tbl>
      <w:tblPr>
        <w:tblW w:w="1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A59EE" w:rsidRPr="000E4DCF" w14:paraId="2753BD86" w14:textId="276E9286" w:rsidTr="001E6E8D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0CB3242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E53FAB2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C56E02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F1A1991" w14:textId="77777777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E1826FA" w14:textId="128E7795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E3BB9B" w14:textId="1E166E56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BEC9D8C" w14:textId="3A311A38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7F7EFFA" w14:textId="08C7AA58" w:rsidR="00EA59EE" w:rsidRPr="000E4DCF" w:rsidRDefault="00EA59EE" w:rsidP="00EA59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</w:tr>
      <w:tr w:rsidR="00587BE4" w:rsidRPr="000E4DCF" w14:paraId="3D584F7A" w14:textId="5DBE26BB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29A7C3E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9D4A11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9FAC04" w14:textId="0F94B9C5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2A96DD50" w14:textId="57A780EC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8B500F4" w14:textId="5009CD14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52F28800" w14:textId="230D4EF6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1E11B9E" w14:textId="24EEB644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F958AE6" w14:textId="6020F832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39FEE032" w14:textId="6BDE929E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2E0B6C3" w14:textId="54ABAC49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587BE4" w:rsidRPr="000E4DCF" w14:paraId="78AE6DAB" w14:textId="61D04715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FEDCF3D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13441C8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CC4B46A" w14:textId="627F93AA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32" w:type="dxa"/>
            <w:vAlign w:val="center"/>
          </w:tcPr>
          <w:p w14:paraId="014A36D4" w14:textId="5350C59C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32" w:type="dxa"/>
            <w:vAlign w:val="center"/>
          </w:tcPr>
          <w:p w14:paraId="17262135" w14:textId="5CB9DE3E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32" w:type="dxa"/>
            <w:vAlign w:val="center"/>
          </w:tcPr>
          <w:p w14:paraId="2CD4BEF4" w14:textId="618FD1EE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2" w:type="dxa"/>
            <w:vAlign w:val="center"/>
          </w:tcPr>
          <w:p w14:paraId="2750C306" w14:textId="0991F14D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32" w:type="dxa"/>
            <w:vAlign w:val="center"/>
          </w:tcPr>
          <w:p w14:paraId="0E3E31BF" w14:textId="1EC520B5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32" w:type="dxa"/>
            <w:vAlign w:val="center"/>
          </w:tcPr>
          <w:p w14:paraId="47419B1A" w14:textId="0B848FB5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32" w:type="dxa"/>
            <w:vAlign w:val="center"/>
          </w:tcPr>
          <w:p w14:paraId="0E43CE38" w14:textId="7789BEF5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</w:tr>
      <w:tr w:rsidR="00587BE4" w:rsidRPr="000E4DCF" w14:paraId="4EDD6F85" w14:textId="5A4AE8CC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6B22534" w14:textId="473C3730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4A29AA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42EC3D" w14:textId="664BDFD9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296DC098" w14:textId="07D77BE6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82584A" w14:textId="70B8E7E4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D81FD41" w14:textId="00A4FEA8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6B6953" w14:textId="2CB1A0E1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416169D9" w14:textId="7EC890D5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175F19" w14:textId="6F692DCB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6D1CBA1" w14:textId="310EACA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587BE4" w:rsidRPr="000E4DCF" w14:paraId="0B0D766B" w14:textId="397D9A15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0C110B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9F690AA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6E8DA4D" w14:textId="6AE09323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32" w:type="dxa"/>
            <w:vAlign w:val="center"/>
          </w:tcPr>
          <w:p w14:paraId="1E0B8F12" w14:textId="44799FD9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3C7C69E0" w14:textId="08F624AC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0BF68308" w14:textId="65E98FFB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337F39A2" w14:textId="610671F6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4D992608" w14:textId="1E3C9AB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22CFFE99" w14:textId="1608E7A8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32" w:type="dxa"/>
            <w:vAlign w:val="center"/>
          </w:tcPr>
          <w:p w14:paraId="228CF31E" w14:textId="6EABC4D6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</w:tr>
      <w:tr w:rsidR="00587BE4" w:rsidRPr="000E4DCF" w14:paraId="1327936D" w14:textId="1457976C" w:rsidTr="00587BE4">
        <w:trPr>
          <w:trHeight w:hRule="exact" w:val="605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7998629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7BC87CB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CBB1654" w14:textId="407B66DD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0545A47" w14:textId="5925F7BD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F180D64" w14:textId="209DE421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18C686A1" w14:textId="644590FD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5A4BFC47" w14:textId="79691219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B4D7A98" w14:textId="41307D2E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27535545" w14:textId="7C3F1F87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7F58D5AF" w14:textId="1CA98BB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587BE4" w:rsidRPr="000E4DCF" w14:paraId="38D78F92" w14:textId="0E0A9768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4F7444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2C5355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64F217E" w14:textId="1034A7FB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C49579" w14:textId="4F1CF298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A70D5D" w14:textId="249383B8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37B86A6C" w14:textId="4A30DCCB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73BF28B3" w14:textId="6EA38387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2CE6B46E" w14:textId="344377D4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30DD11A4" w14:textId="1B58DBBB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475F3BEF" w14:textId="3AF254FF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</w:tr>
      <w:tr w:rsidR="00587BE4" w:rsidRPr="000E4DCF" w14:paraId="394C5B49" w14:textId="2B8B20C8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0ABA1D1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6B973C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B6115B" w14:textId="5FD8F705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6AC4978A" w14:textId="21896CC9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F66DEA" w14:textId="301F1910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E36953" w14:textId="34113D93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9BA6C8F" w14:textId="6F1169F2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32" w:type="dxa"/>
            <w:vAlign w:val="center"/>
          </w:tcPr>
          <w:p w14:paraId="2BAD2ADC" w14:textId="2E73E15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46ACBBEF" w14:textId="2E994C42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2" w:type="dxa"/>
            <w:vAlign w:val="center"/>
          </w:tcPr>
          <w:p w14:paraId="13757426" w14:textId="4A0F3E8B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</w:tr>
      <w:tr w:rsidR="00587BE4" w:rsidRPr="000E4DCF" w14:paraId="291BDDD3" w14:textId="1BF580F7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56D9F5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F46F0F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5B0377" w14:textId="41D0E8AC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45A0CD6A" w14:textId="067ADC6A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2" w:type="dxa"/>
            <w:vAlign w:val="center"/>
          </w:tcPr>
          <w:p w14:paraId="44F52589" w14:textId="32667E63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0BADE44C" w14:textId="210B786E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1782BFB4" w14:textId="1D01CEC6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3CC22012" w14:textId="11ED7F04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C6D8F90" w14:textId="5F2E758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34614F2F" w14:textId="14606570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</w:tr>
      <w:tr w:rsidR="00587BE4" w:rsidRPr="000E4DCF" w14:paraId="41D566E3" w14:textId="1427948B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D19B38E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E0A2880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E7C849A" w14:textId="3C1F9BCA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69F7EB86" w14:textId="23A86FB9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32" w:type="dxa"/>
            <w:vAlign w:val="center"/>
          </w:tcPr>
          <w:p w14:paraId="67135CE0" w14:textId="0FD2CFCC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32" w:type="dxa"/>
            <w:vAlign w:val="center"/>
          </w:tcPr>
          <w:p w14:paraId="6CDEFE79" w14:textId="257A7271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5A29650D" w14:textId="5A0CDA74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32" w:type="dxa"/>
            <w:vAlign w:val="center"/>
          </w:tcPr>
          <w:p w14:paraId="22A02D6A" w14:textId="4D45F653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32" w:type="dxa"/>
            <w:vAlign w:val="center"/>
          </w:tcPr>
          <w:p w14:paraId="15F74412" w14:textId="1007A213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32" w:type="dxa"/>
            <w:vAlign w:val="center"/>
          </w:tcPr>
          <w:p w14:paraId="4D7A6380" w14:textId="0FE1772A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</w:tr>
      <w:tr w:rsidR="00587BE4" w:rsidRPr="000E4DCF" w14:paraId="76FF16A1" w14:textId="6B47F885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D8E0EA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3951AA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356489" w14:textId="41600D9D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5EB53D" w14:textId="1CF715E8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5B93FD" w14:textId="4E101EE7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A493EE8" w14:textId="5B7E518B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6851A0" w14:textId="7B5F338A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A975E37" w14:textId="28E65D8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2A8CB89" w14:textId="289F83DA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315EA0C" w14:textId="0A91FA52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29E3AC0B" w14:textId="3AC09F35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3142237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71580C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94AA4AE" w14:textId="7E2CF803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F9C707E" w14:textId="1E338F57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F945DFA" w14:textId="3B0EC703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9E60F3F" w14:textId="40F57FBA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1158E8" w14:textId="41301224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3F8CD3" w14:textId="41CA3CFF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63E7941" w14:textId="0692E984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A88DB9" w14:textId="4D152F7D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23B6361A" w14:textId="7F51A109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E4BF8C4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9337B7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5B7B9D1" w14:textId="058DF210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602E1C" w14:textId="318BF1C2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8D5E84D" w14:textId="60C65DD1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13D9CD4" w14:textId="3509F990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6069059" w14:textId="61B75D43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0FD839" w14:textId="57A923AB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AF985FB" w14:textId="0ECA4B0A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9BC443" w14:textId="01AD720A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21884953" w14:textId="67C5310E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46490E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6D6E1C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187CAAC" w14:textId="5830E7C4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176FA3B" w14:textId="67383067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C6A89CB" w14:textId="71A5D654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E34FADB" w14:textId="021C3879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E94B6F6" w14:textId="74DF66F8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A78D05" w14:textId="362C3C6F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E46959" w14:textId="5A172C37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2F7C386" w14:textId="4608152B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587BE4" w:rsidRPr="000E4DCF" w14:paraId="29168177" w14:textId="4614B290" w:rsidTr="00587BE4">
        <w:trPr>
          <w:trHeight w:hRule="exact" w:val="570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471BD9D" w14:textId="156A0FA6" w:rsidR="00587BE4" w:rsidRPr="000E4DCF" w:rsidRDefault="00587BE4" w:rsidP="00587B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A83D5F4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A467B37" w14:textId="503AB84E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7CF1D414" w14:textId="77BD7188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4620111" w14:textId="39B96F82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ECFE87B" w14:textId="19F7A6DF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3BCEBF2" w14:textId="6D6F98C9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0E8CC62" w14:textId="17751FF0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5637EB6" w14:textId="0356FA8E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231311B6" w14:textId="3AD6CE30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587BE4" w:rsidRPr="000E4DCF" w14:paraId="6150DCE4" w14:textId="2D9B2CF7" w:rsidTr="00587BE4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717058" w14:textId="77777777" w:rsidR="00587BE4" w:rsidRPr="000E4DCF" w:rsidRDefault="00587BE4" w:rsidP="00587B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EFD010" w14:textId="77777777" w:rsidR="00587BE4" w:rsidRPr="000E4DCF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177CB9" w14:textId="296A732E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1518B53A" w14:textId="73D16EB2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2" w:type="dxa"/>
            <w:vAlign w:val="center"/>
          </w:tcPr>
          <w:p w14:paraId="6FED3AD3" w14:textId="44908B57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2" w:type="dxa"/>
            <w:vAlign w:val="center"/>
          </w:tcPr>
          <w:p w14:paraId="7AF698CD" w14:textId="783E5900" w:rsidR="00587BE4" w:rsidRPr="00F82F13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2" w:type="dxa"/>
            <w:vAlign w:val="center"/>
          </w:tcPr>
          <w:p w14:paraId="121D6111" w14:textId="62F092CB" w:rsidR="00587BE4" w:rsidRPr="00587BE4" w:rsidRDefault="00587BE4" w:rsidP="00587B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2" w:type="dxa"/>
            <w:vAlign w:val="center"/>
          </w:tcPr>
          <w:p w14:paraId="10C2354A" w14:textId="239FC74C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2" w:type="dxa"/>
            <w:vAlign w:val="center"/>
          </w:tcPr>
          <w:p w14:paraId="038D5F9D" w14:textId="43AD786A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32" w:type="dxa"/>
            <w:vAlign w:val="center"/>
          </w:tcPr>
          <w:p w14:paraId="3518BBE6" w14:textId="70F1511F" w:rsidR="00587BE4" w:rsidRPr="00587BE4" w:rsidRDefault="00587BE4" w:rsidP="00587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4DDBE41" w14:textId="77777777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77777777" w:rsidR="00AF2E4F" w:rsidRPr="009477ED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4750" w14:textId="77777777" w:rsidR="008D23A7" w:rsidRDefault="008D23A7" w:rsidP="00D0088C">
      <w:pPr>
        <w:spacing w:after="0" w:line="240" w:lineRule="auto"/>
      </w:pPr>
      <w:r>
        <w:separator/>
      </w:r>
    </w:p>
  </w:endnote>
  <w:endnote w:type="continuationSeparator" w:id="0">
    <w:p w14:paraId="6E5BD08A" w14:textId="77777777" w:rsidR="008D23A7" w:rsidRDefault="008D23A7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325404"/>
      <w:docPartObj>
        <w:docPartGallery w:val="Page Numbers (Bottom of Page)"/>
        <w:docPartUnique/>
      </w:docPartObj>
    </w:sdtPr>
    <w:sdtEndPr/>
    <w:sdtContent>
      <w:p w14:paraId="64F174AE" w14:textId="037B84B1" w:rsidR="001E6E8D" w:rsidRDefault="001E6E8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5128F127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l'Analyse Economique (INSAE), Indice de</w:t>
    </w:r>
    <w:r w:rsidRPr="00B34E61">
      <w:rPr>
        <w:rFonts w:ascii="Bodoni MT" w:hAnsi="Bodoni MT"/>
        <w:b/>
        <w:color w:val="0070C0"/>
        <w:sz w:val="16"/>
        <w:szCs w:val="16"/>
      </w:rPr>
      <w:t xml:space="preserve"> Prix de</w:t>
    </w:r>
    <w:r w:rsidRPr="00B34E61">
      <w:rPr>
        <w:rFonts w:ascii="Bodoni MT" w:hAnsi="Bodoni MT"/>
        <w:b/>
        <w:color w:val="0070C0"/>
        <w:sz w:val="16"/>
        <w:szCs w:val="16"/>
      </w:rPr>
      <w:t xml:space="preserve"> Production </w:t>
    </w:r>
    <w:r w:rsidRPr="00B34E61">
      <w:rPr>
        <w:rFonts w:ascii="Bodoni MT" w:hAnsi="Bodoni MT"/>
        <w:b/>
        <w:color w:val="0070C0"/>
        <w:sz w:val="16"/>
        <w:szCs w:val="16"/>
      </w:rPr>
      <w:t>de l’</w:t>
    </w:r>
    <w:r w:rsidRPr="00B34E61">
      <w:rPr>
        <w:rFonts w:ascii="Bodoni MT" w:hAnsi="Bodoni MT"/>
        <w:b/>
        <w:color w:val="0070C0"/>
        <w:sz w:val="16"/>
        <w:szCs w:val="16"/>
      </w:rPr>
      <w:t>Industrie, Benin, Publication n°2021-01, février 2021.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9B56" w14:textId="77777777" w:rsidR="008D23A7" w:rsidRDefault="008D23A7" w:rsidP="00D0088C">
      <w:pPr>
        <w:spacing w:after="0" w:line="240" w:lineRule="auto"/>
      </w:pPr>
      <w:r>
        <w:separator/>
      </w:r>
    </w:p>
  </w:footnote>
  <w:footnote w:type="continuationSeparator" w:id="0">
    <w:p w14:paraId="5FC46720" w14:textId="77777777" w:rsidR="008D23A7" w:rsidRDefault="008D23A7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1139A"/>
    <w:rsid w:val="00022693"/>
    <w:rsid w:val="00022F5A"/>
    <w:rsid w:val="00032784"/>
    <w:rsid w:val="0003308D"/>
    <w:rsid w:val="00034DDE"/>
    <w:rsid w:val="00040F08"/>
    <w:rsid w:val="00043A41"/>
    <w:rsid w:val="000546E8"/>
    <w:rsid w:val="00066E13"/>
    <w:rsid w:val="0007006B"/>
    <w:rsid w:val="00081C84"/>
    <w:rsid w:val="00084F1A"/>
    <w:rsid w:val="00086379"/>
    <w:rsid w:val="00092FEE"/>
    <w:rsid w:val="000A35AA"/>
    <w:rsid w:val="000B1574"/>
    <w:rsid w:val="000C337C"/>
    <w:rsid w:val="000E09E4"/>
    <w:rsid w:val="000E145B"/>
    <w:rsid w:val="000E4DCF"/>
    <w:rsid w:val="000E531E"/>
    <w:rsid w:val="000F5462"/>
    <w:rsid w:val="0010188B"/>
    <w:rsid w:val="001127A1"/>
    <w:rsid w:val="00115678"/>
    <w:rsid w:val="00125D77"/>
    <w:rsid w:val="00130D48"/>
    <w:rsid w:val="00135C8C"/>
    <w:rsid w:val="00137EE3"/>
    <w:rsid w:val="00141B8E"/>
    <w:rsid w:val="001520F5"/>
    <w:rsid w:val="00153FCE"/>
    <w:rsid w:val="00155050"/>
    <w:rsid w:val="00191A1F"/>
    <w:rsid w:val="001B36D3"/>
    <w:rsid w:val="001C60EB"/>
    <w:rsid w:val="001D3B43"/>
    <w:rsid w:val="001E1A07"/>
    <w:rsid w:val="001E6E8D"/>
    <w:rsid w:val="001E7A2F"/>
    <w:rsid w:val="002153A7"/>
    <w:rsid w:val="00225488"/>
    <w:rsid w:val="00232F4A"/>
    <w:rsid w:val="00233B19"/>
    <w:rsid w:val="00241103"/>
    <w:rsid w:val="0025137C"/>
    <w:rsid w:val="002562EA"/>
    <w:rsid w:val="00275333"/>
    <w:rsid w:val="0028074C"/>
    <w:rsid w:val="00287A92"/>
    <w:rsid w:val="002915B5"/>
    <w:rsid w:val="00293E42"/>
    <w:rsid w:val="00294F1F"/>
    <w:rsid w:val="002A3D52"/>
    <w:rsid w:val="002C6302"/>
    <w:rsid w:val="002D4F7E"/>
    <w:rsid w:val="002F744F"/>
    <w:rsid w:val="003245DA"/>
    <w:rsid w:val="00325527"/>
    <w:rsid w:val="003269C8"/>
    <w:rsid w:val="0034591F"/>
    <w:rsid w:val="003534BC"/>
    <w:rsid w:val="00367844"/>
    <w:rsid w:val="003803D1"/>
    <w:rsid w:val="00380E54"/>
    <w:rsid w:val="003A08F8"/>
    <w:rsid w:val="003B33A4"/>
    <w:rsid w:val="003B7481"/>
    <w:rsid w:val="003C30D8"/>
    <w:rsid w:val="003D284F"/>
    <w:rsid w:val="003D3642"/>
    <w:rsid w:val="003D4489"/>
    <w:rsid w:val="003D76D3"/>
    <w:rsid w:val="003E393E"/>
    <w:rsid w:val="003E6036"/>
    <w:rsid w:val="003F2CD9"/>
    <w:rsid w:val="00403F76"/>
    <w:rsid w:val="004217AA"/>
    <w:rsid w:val="00427733"/>
    <w:rsid w:val="004514BB"/>
    <w:rsid w:val="004621A6"/>
    <w:rsid w:val="00474DB3"/>
    <w:rsid w:val="0048153D"/>
    <w:rsid w:val="00482977"/>
    <w:rsid w:val="004B2674"/>
    <w:rsid w:val="004B7DEE"/>
    <w:rsid w:val="004E3000"/>
    <w:rsid w:val="004F6C6B"/>
    <w:rsid w:val="00506FC0"/>
    <w:rsid w:val="00507A4A"/>
    <w:rsid w:val="00513360"/>
    <w:rsid w:val="005300F5"/>
    <w:rsid w:val="005549A4"/>
    <w:rsid w:val="00583049"/>
    <w:rsid w:val="00587BE4"/>
    <w:rsid w:val="005976AC"/>
    <w:rsid w:val="005A2133"/>
    <w:rsid w:val="005A5D73"/>
    <w:rsid w:val="005C35BF"/>
    <w:rsid w:val="005D1719"/>
    <w:rsid w:val="005D64D9"/>
    <w:rsid w:val="005D6F09"/>
    <w:rsid w:val="005E516A"/>
    <w:rsid w:val="005E5BBD"/>
    <w:rsid w:val="005F4CE1"/>
    <w:rsid w:val="00600A2B"/>
    <w:rsid w:val="00603BE3"/>
    <w:rsid w:val="00611ACB"/>
    <w:rsid w:val="006133A7"/>
    <w:rsid w:val="00631409"/>
    <w:rsid w:val="00633A64"/>
    <w:rsid w:val="00641711"/>
    <w:rsid w:val="00642689"/>
    <w:rsid w:val="00650FC6"/>
    <w:rsid w:val="006538F4"/>
    <w:rsid w:val="00653DD9"/>
    <w:rsid w:val="006569A7"/>
    <w:rsid w:val="0066751C"/>
    <w:rsid w:val="00677CDB"/>
    <w:rsid w:val="006911A1"/>
    <w:rsid w:val="00691203"/>
    <w:rsid w:val="00691ED1"/>
    <w:rsid w:val="006A10AE"/>
    <w:rsid w:val="006A2AB7"/>
    <w:rsid w:val="006B1C4F"/>
    <w:rsid w:val="006B44C8"/>
    <w:rsid w:val="006E6AFC"/>
    <w:rsid w:val="006F38AA"/>
    <w:rsid w:val="007028E0"/>
    <w:rsid w:val="00712773"/>
    <w:rsid w:val="00713AF7"/>
    <w:rsid w:val="00723587"/>
    <w:rsid w:val="007335A5"/>
    <w:rsid w:val="00784A58"/>
    <w:rsid w:val="00790DFD"/>
    <w:rsid w:val="007911FD"/>
    <w:rsid w:val="00793555"/>
    <w:rsid w:val="00794110"/>
    <w:rsid w:val="007C10EE"/>
    <w:rsid w:val="007E66BD"/>
    <w:rsid w:val="007F4BDA"/>
    <w:rsid w:val="00816FCE"/>
    <w:rsid w:val="00824FFD"/>
    <w:rsid w:val="00852BEB"/>
    <w:rsid w:val="0085396E"/>
    <w:rsid w:val="00860339"/>
    <w:rsid w:val="00875B72"/>
    <w:rsid w:val="0089049F"/>
    <w:rsid w:val="008B11D7"/>
    <w:rsid w:val="008D23A7"/>
    <w:rsid w:val="008E03E1"/>
    <w:rsid w:val="008E16BD"/>
    <w:rsid w:val="008E367B"/>
    <w:rsid w:val="008E5810"/>
    <w:rsid w:val="008F379B"/>
    <w:rsid w:val="00900669"/>
    <w:rsid w:val="009100F2"/>
    <w:rsid w:val="00911126"/>
    <w:rsid w:val="00913AE3"/>
    <w:rsid w:val="00917189"/>
    <w:rsid w:val="00931B21"/>
    <w:rsid w:val="009374D5"/>
    <w:rsid w:val="00943E95"/>
    <w:rsid w:val="009477ED"/>
    <w:rsid w:val="009478EE"/>
    <w:rsid w:val="009570A9"/>
    <w:rsid w:val="00966203"/>
    <w:rsid w:val="00975D46"/>
    <w:rsid w:val="00980449"/>
    <w:rsid w:val="0099444C"/>
    <w:rsid w:val="009B3ED3"/>
    <w:rsid w:val="009B5CC2"/>
    <w:rsid w:val="009D1902"/>
    <w:rsid w:val="009E64E3"/>
    <w:rsid w:val="009E665F"/>
    <w:rsid w:val="009E7D45"/>
    <w:rsid w:val="00A03704"/>
    <w:rsid w:val="00A254B7"/>
    <w:rsid w:val="00A54AC0"/>
    <w:rsid w:val="00A613BE"/>
    <w:rsid w:val="00A6202B"/>
    <w:rsid w:val="00A744FD"/>
    <w:rsid w:val="00A95C25"/>
    <w:rsid w:val="00AB7B8A"/>
    <w:rsid w:val="00AC4366"/>
    <w:rsid w:val="00AD5A5A"/>
    <w:rsid w:val="00AD5A73"/>
    <w:rsid w:val="00AE4CD4"/>
    <w:rsid w:val="00AF2E4F"/>
    <w:rsid w:val="00AF6B6F"/>
    <w:rsid w:val="00AF78F3"/>
    <w:rsid w:val="00B021F2"/>
    <w:rsid w:val="00B10263"/>
    <w:rsid w:val="00B13C60"/>
    <w:rsid w:val="00B1426E"/>
    <w:rsid w:val="00B34E61"/>
    <w:rsid w:val="00B366D6"/>
    <w:rsid w:val="00B41B65"/>
    <w:rsid w:val="00B46B16"/>
    <w:rsid w:val="00B647B5"/>
    <w:rsid w:val="00B66A07"/>
    <w:rsid w:val="00B9244E"/>
    <w:rsid w:val="00BC2701"/>
    <w:rsid w:val="00BD6A7F"/>
    <w:rsid w:val="00C0137F"/>
    <w:rsid w:val="00C1172D"/>
    <w:rsid w:val="00C136C0"/>
    <w:rsid w:val="00C171A1"/>
    <w:rsid w:val="00C30380"/>
    <w:rsid w:val="00C44866"/>
    <w:rsid w:val="00C511B8"/>
    <w:rsid w:val="00C559F2"/>
    <w:rsid w:val="00C643E9"/>
    <w:rsid w:val="00C709D7"/>
    <w:rsid w:val="00C77883"/>
    <w:rsid w:val="00C90732"/>
    <w:rsid w:val="00C96E92"/>
    <w:rsid w:val="00CA0A87"/>
    <w:rsid w:val="00CA51DB"/>
    <w:rsid w:val="00CB090F"/>
    <w:rsid w:val="00CF24E9"/>
    <w:rsid w:val="00CF2785"/>
    <w:rsid w:val="00CF2E8E"/>
    <w:rsid w:val="00CF63E6"/>
    <w:rsid w:val="00D0088C"/>
    <w:rsid w:val="00D061C7"/>
    <w:rsid w:val="00D16409"/>
    <w:rsid w:val="00D22B1A"/>
    <w:rsid w:val="00D23A45"/>
    <w:rsid w:val="00D2530C"/>
    <w:rsid w:val="00D25F53"/>
    <w:rsid w:val="00D4329F"/>
    <w:rsid w:val="00D5007F"/>
    <w:rsid w:val="00D50F73"/>
    <w:rsid w:val="00D5748D"/>
    <w:rsid w:val="00D81F14"/>
    <w:rsid w:val="00D837D7"/>
    <w:rsid w:val="00D97F1B"/>
    <w:rsid w:val="00DA4A71"/>
    <w:rsid w:val="00DB44C2"/>
    <w:rsid w:val="00DC047E"/>
    <w:rsid w:val="00DC2ECC"/>
    <w:rsid w:val="00DC59DB"/>
    <w:rsid w:val="00DC5DC4"/>
    <w:rsid w:val="00DD0502"/>
    <w:rsid w:val="00DF0AD9"/>
    <w:rsid w:val="00DF71E4"/>
    <w:rsid w:val="00E0381C"/>
    <w:rsid w:val="00E1145E"/>
    <w:rsid w:val="00E2071D"/>
    <w:rsid w:val="00E256EA"/>
    <w:rsid w:val="00E31102"/>
    <w:rsid w:val="00E50C97"/>
    <w:rsid w:val="00E606B6"/>
    <w:rsid w:val="00E7696E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38A8"/>
    <w:rsid w:val="00F06311"/>
    <w:rsid w:val="00F2180E"/>
    <w:rsid w:val="00F23A40"/>
    <w:rsid w:val="00F23C69"/>
    <w:rsid w:val="00F576CB"/>
    <w:rsid w:val="00F644C9"/>
    <w:rsid w:val="00F726A9"/>
    <w:rsid w:val="00F82F13"/>
    <w:rsid w:val="00FA71FF"/>
    <w:rsid w:val="00FB7DAF"/>
    <w:rsid w:val="00FC0432"/>
    <w:rsid w:val="00FD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4209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39</cp:revision>
  <cp:lastPrinted>2020-07-02T10:16:00Z</cp:lastPrinted>
  <dcterms:created xsi:type="dcterms:W3CDTF">2020-09-10T11:07:00Z</dcterms:created>
  <dcterms:modified xsi:type="dcterms:W3CDTF">2021-02-26T11:59:00Z</dcterms:modified>
</cp:coreProperties>
</file>